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8" w:rsidRDefault="00AE6F6D">
      <w:pPr>
        <w:pStyle w:val="afc"/>
        <w:ind w:left="510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2A44C8" w:rsidRDefault="00AE6F6D">
      <w:pPr>
        <w:pStyle w:val="afc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министра имущественных  </w:t>
      </w:r>
    </w:p>
    <w:p w:rsidR="002A44C8" w:rsidRDefault="00AE6F6D">
      <w:pPr>
        <w:pStyle w:val="afc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отношений</w:t>
      </w:r>
    </w:p>
    <w:p w:rsidR="002A44C8" w:rsidRPr="00091DDD" w:rsidRDefault="00AE6F6D" w:rsidP="00091DDD">
      <w:pPr>
        <w:pStyle w:val="afc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Нижегородской области </w:t>
      </w:r>
      <w:r w:rsidR="00091DDD">
        <w:rPr>
          <w:sz w:val="24"/>
          <w:szCs w:val="24"/>
        </w:rPr>
        <w:t xml:space="preserve">                                                                                              </w:t>
      </w:r>
      <w:r w:rsidRPr="00091DDD">
        <w:rPr>
          <w:rFonts w:ascii="Times New Roman" w:hAnsi="Times New Roman"/>
          <w:sz w:val="24"/>
          <w:szCs w:val="24"/>
        </w:rPr>
        <w:t xml:space="preserve">от </w:t>
      </w:r>
      <w:r w:rsidR="00091DDD" w:rsidRPr="00091DDD">
        <w:rPr>
          <w:rFonts w:ascii="Times New Roman" w:hAnsi="Times New Roman"/>
          <w:sz w:val="24"/>
          <w:szCs w:val="24"/>
        </w:rPr>
        <w:t>29.12.2021 г.</w:t>
      </w:r>
      <w:r w:rsidRPr="00091DDD">
        <w:rPr>
          <w:rFonts w:ascii="Times New Roman" w:hAnsi="Times New Roman"/>
          <w:sz w:val="24"/>
          <w:szCs w:val="24"/>
        </w:rPr>
        <w:t xml:space="preserve"> №</w:t>
      </w:r>
      <w:r w:rsidR="00091DDD" w:rsidRPr="00091DDD">
        <w:rPr>
          <w:rFonts w:ascii="Times New Roman" w:hAnsi="Times New Roman"/>
          <w:sz w:val="24"/>
          <w:szCs w:val="24"/>
        </w:rPr>
        <w:t xml:space="preserve"> 326-13-798958/21</w:t>
      </w:r>
    </w:p>
    <w:p w:rsidR="002A44C8" w:rsidRPr="00091DDD" w:rsidRDefault="002A44C8" w:rsidP="00091DDD">
      <w:pPr>
        <w:pStyle w:val="afc"/>
        <w:ind w:left="5103"/>
        <w:jc w:val="right"/>
        <w:rPr>
          <w:b/>
          <w:bCs/>
        </w:rPr>
      </w:pPr>
    </w:p>
    <w:p w:rsidR="002A44C8" w:rsidRDefault="002A44C8">
      <w:pPr>
        <w:pStyle w:val="afc"/>
        <w:jc w:val="center"/>
        <w:rPr>
          <w:rStyle w:val="afb"/>
          <w:rFonts w:ascii="Times New Roman" w:hAnsi="Times New Roman"/>
          <w:color w:val="000000"/>
          <w:sz w:val="24"/>
          <w:szCs w:val="24"/>
        </w:rPr>
      </w:pPr>
    </w:p>
    <w:p w:rsidR="002A44C8" w:rsidRDefault="00AE6F6D" w:rsidP="00D43914">
      <w:pPr>
        <w:pStyle w:val="afc"/>
        <w:jc w:val="center"/>
        <w:rPr>
          <w:rStyle w:val="afb"/>
          <w:rFonts w:ascii="Times New Roman" w:hAnsi="Times New Roman"/>
          <w:color w:val="000000"/>
          <w:sz w:val="28"/>
          <w:szCs w:val="28"/>
        </w:rPr>
      </w:pPr>
      <w:r>
        <w:rPr>
          <w:rStyle w:val="afb"/>
          <w:rFonts w:ascii="Times New Roman" w:hAnsi="Times New Roman"/>
          <w:color w:val="000000"/>
          <w:sz w:val="28"/>
          <w:szCs w:val="28"/>
        </w:rPr>
        <w:t>Положение</w:t>
      </w:r>
    </w:p>
    <w:p w:rsidR="002A44C8" w:rsidRDefault="00AE6F6D" w:rsidP="00D4391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fb"/>
          <w:rFonts w:ascii="Times New Roman" w:hAnsi="Times New Roman"/>
          <w:color w:val="000000"/>
          <w:sz w:val="24"/>
          <w:szCs w:val="24"/>
        </w:rPr>
        <w:t xml:space="preserve">о реализации единой государственной учетной политики в </w:t>
      </w:r>
      <w:r>
        <w:rPr>
          <w:rFonts w:ascii="Times New Roman" w:hAnsi="Times New Roman"/>
          <w:b/>
          <w:bCs/>
          <w:sz w:val="24"/>
          <w:szCs w:val="24"/>
        </w:rPr>
        <w:t>министерстве</w:t>
      </w:r>
    </w:p>
    <w:p w:rsidR="002A44C8" w:rsidRDefault="00AE6F6D" w:rsidP="00D4391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имущественных и земельных отношений</w:t>
      </w:r>
      <w:r>
        <w:rPr>
          <w:rFonts w:ascii="Times New Roman" w:hAnsi="Times New Roman"/>
          <w:b/>
          <w:bCs/>
          <w:sz w:val="24"/>
          <w:szCs w:val="24"/>
        </w:rPr>
        <w:t xml:space="preserve"> Нижегородской области</w:t>
      </w:r>
    </w:p>
    <w:p w:rsidR="002A44C8" w:rsidRDefault="002A44C8">
      <w:pPr>
        <w:rPr>
          <w:sz w:val="24"/>
          <w:szCs w:val="24"/>
        </w:rPr>
      </w:pPr>
    </w:p>
    <w:p w:rsidR="002A44C8" w:rsidRDefault="00AE6F6D">
      <w:pPr>
        <w:pStyle w:val="1"/>
        <w:tabs>
          <w:tab w:val="center" w:pos="4748"/>
          <w:tab w:val="left" w:pos="6444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Общие положения</w:t>
      </w:r>
      <w:r>
        <w:rPr>
          <w:color w:val="000000"/>
          <w:sz w:val="24"/>
          <w:szCs w:val="24"/>
        </w:rPr>
        <w:tab/>
      </w:r>
    </w:p>
    <w:p w:rsidR="002A44C8" w:rsidRDefault="00AE6F6D" w:rsidP="00760F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имущественных и земельных отношений Нижегородской области (далее Министерство) образовано согласно Указу Губернатора Нижегородской области от 15.01.2018 № 6 «Об утверждении структуры органов исполнительной власти Нижегородской области», путем переименования министерства инвестиций, земельных и имущественных отношений Нижегородской области. В своей деятельности руководствуется Положением о министерстве имущественных и земельных отношений Нижегородской области, утвержденным Постановлением Правительства Нижегородской области от 22.03.2018 № 183.</w:t>
      </w:r>
    </w:p>
    <w:p w:rsidR="002A44C8" w:rsidRDefault="00AE6F6D" w:rsidP="002C23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Бюджетный учет в министерстве осуществляется в соответствии с Федеральным законом от 06.12.2011 №402-ФЗ "О бухгалтерском учете" (далее - Закон №402-ФЗ), Бюджетным кодексом РФ,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№157н), Приказом Минфина РФ от 06.12.2010 №162н «Об утверждении плана счетов бюджетного учета и инструкции по его применению», Приказом Минфина 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№52н), Классификацией основных средств, включаемых в амортизационные группы</w:t>
      </w:r>
      <w:r w:rsidR="00760F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60F2F">
        <w:rPr>
          <w:sz w:val="24"/>
          <w:szCs w:val="24"/>
        </w:rPr>
        <w:t>утверждённой</w:t>
      </w:r>
      <w:r>
        <w:rPr>
          <w:sz w:val="24"/>
          <w:szCs w:val="24"/>
        </w:rPr>
        <w:t xml:space="preserve"> Постановлением Правительства РФ от 01.01.2002 №1, Методическими указаниями по инвентаризации имущества и финансовых обя</w:t>
      </w:r>
      <w:r w:rsidR="00760F2F">
        <w:rPr>
          <w:sz w:val="24"/>
          <w:szCs w:val="24"/>
        </w:rPr>
        <w:t>з</w:t>
      </w:r>
      <w:r>
        <w:rPr>
          <w:sz w:val="24"/>
          <w:szCs w:val="24"/>
        </w:rPr>
        <w:t>ательств, утвержденные приказом Минфина России от 13.06.1995 №49, Приказом Минфина РФ от 28.12.2010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Приказ №191н), распорядительными (нормативными) документами, устанавливающими особенность реализации единой государственной учетной политики в Министерстве, федеральными стандартами бухгалтерского учета для организаций государственного сектора, Порядком применения классификации операций сектора государственного управления, утвержденный Приказом Минфина России от 29.11.2017 №209н, Порядком формирования и применения кодов бюджетной классификации Российской Федерации, их структуру и принципы назначения, утвержденный Приказом Минфина России от 06.06.2019 N 85н, Постановлением Правительства Нижегородской области от 13 мая 2020 года №377 «О передаче полномочий органов исполнительной власти Нижегородской области», Соглашением от 29 мая 2020 года №9 ЗП «О передаче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перечислению».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части налогового учета Министерство руководствуется Налоговым кодексом Российской Федерации.</w:t>
      </w:r>
    </w:p>
    <w:p w:rsidR="002A44C8" w:rsidRDefault="00AE6F6D" w:rsidP="00760F2F">
      <w:pPr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Обязанности по организации ведения бюджетного учета возлагаются на министра имущественных и земельных отношений (далее-министр).</w:t>
      </w:r>
    </w:p>
    <w:p w:rsidR="002A44C8" w:rsidRDefault="00AE6F6D" w:rsidP="00760F2F">
      <w:pPr>
        <w:ind w:firstLine="539"/>
        <w:jc w:val="both"/>
      </w:pPr>
      <w:r>
        <w:rPr>
          <w:sz w:val="24"/>
          <w:szCs w:val="24"/>
        </w:rPr>
        <w:t>Министерство публикует основные положения учетной политики на своем официальном сайте.</w:t>
      </w:r>
    </w:p>
    <w:p w:rsidR="002A44C8" w:rsidRPr="00C821A0" w:rsidRDefault="00AE6F6D" w:rsidP="00760F2F">
      <w:pPr>
        <w:ind w:firstLine="540"/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Ответственным по формированию учетной политики, распорядительных документов, определяющих особенность реализации государственной учетной политики в Министерстве, ведение бюджетного учета, своевременное представление полной и достоверной бухгалтерской отчетности, является начальник отдела и(или) заместитель начальника отдела бюджетного учета и отчетности (далее - начальник отдела, заместитель начальника отдела). </w:t>
      </w:r>
      <w:r>
        <w:rPr>
          <w:i/>
          <w:sz w:val="24"/>
          <w:szCs w:val="24"/>
        </w:rPr>
        <w:t xml:space="preserve">(Основание: </w:t>
      </w:r>
      <w:hyperlink r:id="rId7" w:history="1">
        <w:r>
          <w:rPr>
            <w:i/>
            <w:sz w:val="24"/>
            <w:szCs w:val="24"/>
          </w:rPr>
          <w:t>ч. 3 ст. 7</w:t>
        </w:r>
      </w:hyperlink>
      <w:r>
        <w:rPr>
          <w:i/>
          <w:sz w:val="24"/>
          <w:szCs w:val="24"/>
        </w:rPr>
        <w:t xml:space="preserve"> Закона N 402-ФЗ)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бюджетного учета, кроме начислений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осуществляется отделом бюджетного учета и отчетности. Состав и соподчиненность, а также разделение полномочий и ответственности, структура, функции и задачи устанавливаются начальником отдела и утверждаются приказом руководителя Министерства (Положение об отделе бюджетного учета и отчетности) и должностными инструкциями.</w:t>
      </w:r>
    </w:p>
    <w:p w:rsidR="002A44C8" w:rsidRDefault="00AE6F6D" w:rsidP="00760F2F">
      <w:pPr>
        <w:jc w:val="both"/>
      </w:pPr>
      <w:r>
        <w:rPr>
          <w:sz w:val="24"/>
          <w:szCs w:val="24"/>
        </w:rPr>
        <w:t xml:space="preserve">Начисления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осуществляется уполномоченной организацией государственное казенное учреждение «Центр обслуживания получателей бюджетных средств» (далее- уполномоченная организация </w:t>
      </w:r>
      <w:proofErr w:type="gramStart"/>
      <w:r>
        <w:rPr>
          <w:sz w:val="24"/>
          <w:szCs w:val="24"/>
        </w:rPr>
        <w:t>ГКУ</w:t>
      </w:r>
      <w:proofErr w:type="gramEnd"/>
      <w:r>
        <w:rPr>
          <w:sz w:val="24"/>
          <w:szCs w:val="24"/>
        </w:rPr>
        <w:t xml:space="preserve"> НО «ЦОПБС»)</w:t>
      </w:r>
    </w:p>
    <w:p w:rsidR="002A44C8" w:rsidRDefault="00AE6F6D" w:rsidP="00760F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сотрудников отдела бюджетного учета и отчетности регламентируется их должностными инструкциями.</w:t>
      </w:r>
      <w:r>
        <w:rPr>
          <w:i/>
          <w:iCs/>
          <w:sz w:val="24"/>
          <w:szCs w:val="24"/>
        </w:rPr>
        <w:t xml:space="preserve"> 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отдела подчиняются начальнику отдела. </w:t>
      </w:r>
    </w:p>
    <w:p w:rsidR="002A44C8" w:rsidRDefault="00AE6F6D" w:rsidP="00760F2F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Бюджетный учет в Министерстве ведется в соответствии с Рабочим планом счетов бюджетного учета, приведенным в </w:t>
      </w:r>
      <w:hyperlink w:anchor="Par410" w:history="1">
        <w:r>
          <w:rPr>
            <w:rFonts w:ascii="Times New Roman" w:hAnsi="Times New Roman"/>
            <w:b/>
            <w:sz w:val="24"/>
            <w:szCs w:val="24"/>
          </w:rPr>
          <w:t>Приложении №1</w:t>
        </w:r>
      </w:hyperlink>
      <w:r>
        <w:rPr>
          <w:rFonts w:ascii="Times New Roman" w:hAnsi="Times New Roman"/>
          <w:sz w:val="24"/>
          <w:szCs w:val="24"/>
        </w:rPr>
        <w:t xml:space="preserve"> к настоящей Учетной политике, разработанным на основе Единого </w:t>
      </w:r>
      <w:hyperlink r:id="rId8" w:history="1">
        <w:r>
          <w:rPr>
            <w:rFonts w:ascii="Times New Roman" w:hAnsi="Times New Roman"/>
            <w:sz w:val="24"/>
            <w:szCs w:val="24"/>
          </w:rPr>
          <w:t>плана</w:t>
        </w:r>
      </w:hyperlink>
      <w:r>
        <w:rPr>
          <w:rFonts w:ascii="Times New Roman" w:hAnsi="Times New Roman"/>
          <w:sz w:val="24"/>
          <w:szCs w:val="24"/>
        </w:rPr>
        <w:t xml:space="preserve"> счетов, утвержденного Приказом №157н, и Приказом №162н.,</w:t>
      </w:r>
      <w:r w:rsidR="00C821A0" w:rsidRPr="00C82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п.19 Стандарта «Концептуальные основы бухгалтерского учета и отчетности организаций государственного сектора».</w:t>
      </w:r>
    </w:p>
    <w:p w:rsidR="002A44C8" w:rsidRDefault="00AE6F6D" w:rsidP="00760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Учет исполнения сметы расходов по бюджету осуществляется с применением бюджетной классификации в соответствии Приказом №</w:t>
      </w:r>
      <w:r w:rsidR="00E64071">
        <w:rPr>
          <w:sz w:val="24"/>
          <w:szCs w:val="24"/>
        </w:rPr>
        <w:t>85</w:t>
      </w:r>
      <w:r>
        <w:rPr>
          <w:sz w:val="24"/>
          <w:szCs w:val="24"/>
        </w:rPr>
        <w:t>н</w:t>
      </w:r>
      <w:r w:rsidR="00E64071">
        <w:rPr>
          <w:sz w:val="24"/>
          <w:szCs w:val="24"/>
        </w:rPr>
        <w:t>, №209н</w:t>
      </w:r>
      <w:r>
        <w:rPr>
          <w:sz w:val="24"/>
          <w:szCs w:val="24"/>
        </w:rPr>
        <w:t xml:space="preserve"> и иными нормативными документами, утвержденными в рамках реализации указанного приказа.</w:t>
      </w:r>
    </w:p>
    <w:p w:rsidR="002A44C8" w:rsidRDefault="00AE6F6D" w:rsidP="00760F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Министерством, при осуществлении своей деятельности, применяются следующие коды вида финансового обеспечения деятельности:</w:t>
      </w:r>
    </w:p>
    <w:p w:rsidR="002A44C8" w:rsidRDefault="00DB1DA6" w:rsidP="00760F2F">
      <w:pPr>
        <w:ind w:firstLine="567"/>
        <w:jc w:val="both"/>
        <w:rPr>
          <w:sz w:val="24"/>
          <w:szCs w:val="24"/>
        </w:rPr>
      </w:pPr>
      <w:hyperlink r:id="rId9" w:history="1">
        <w:r w:rsidR="00AE6F6D">
          <w:rPr>
            <w:sz w:val="24"/>
            <w:szCs w:val="24"/>
          </w:rPr>
          <w:t>"1"</w:t>
        </w:r>
      </w:hyperlink>
      <w:r w:rsidR="00AE6F6D">
        <w:rPr>
          <w:sz w:val="24"/>
          <w:szCs w:val="24"/>
        </w:rPr>
        <w:t xml:space="preserve">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2A44C8" w:rsidRPr="00EF73CC" w:rsidRDefault="00DB1DA6">
      <w:pPr>
        <w:ind w:firstLine="567"/>
        <w:rPr>
          <w:sz w:val="24"/>
          <w:szCs w:val="24"/>
        </w:rPr>
      </w:pPr>
      <w:hyperlink r:id="rId10" w:history="1">
        <w:r w:rsidR="00AE6F6D">
          <w:rPr>
            <w:sz w:val="24"/>
            <w:szCs w:val="24"/>
          </w:rPr>
          <w:t>"3"</w:t>
        </w:r>
      </w:hyperlink>
      <w:r w:rsidR="00AE6F6D">
        <w:rPr>
          <w:sz w:val="24"/>
          <w:szCs w:val="24"/>
        </w:rPr>
        <w:t xml:space="preserve"> - средства во временном распоряжении.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деятельности за счет целевых, безвозмездных, безвозвратных средств и иных поступлений осуществляется раздельно по видам поступлений (источникам поступлений) согласно утвержденным сметам, если обеспечение раздельного учета является обязательным условием предоставления соответствующих средств (поступлений) с дальнейшим включением результата деятельности в единый баланс Министерства.</w:t>
      </w:r>
    </w:p>
    <w:p w:rsidR="002A44C8" w:rsidRDefault="00AE6F6D" w:rsidP="005257D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Внутренний финансовый аудит осуществляется в Министерстве в соответствии с федеральными стандартами внутреннего финансового аудита и ежегодными планами внутреннего финансового аудита Министерства. Внутренний финансовый аудит в Министерстве осуществляет отдел финансового контроля, ведения учета имущества казны и госконтрактов. </w:t>
      </w: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bookmarkStart w:id="0" w:name="sub_1012"/>
      <w:r>
        <w:rPr>
          <w:color w:val="000000"/>
          <w:sz w:val="24"/>
          <w:szCs w:val="24"/>
        </w:rPr>
        <w:t>2. Форма ведения бухгалтерского учета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Форма ведения бухгалтерского учета - автоматизированная с применением систем автоматизации бухгалтерского учета по следующим учетным блокам:</w:t>
      </w:r>
    </w:p>
    <w:p w:rsidR="002A44C8" w:rsidRDefault="00AE6F6D" w:rsidP="005257D2">
      <w:pPr>
        <w:jc w:val="both"/>
      </w:pPr>
      <w:r>
        <w:rPr>
          <w:sz w:val="24"/>
          <w:szCs w:val="24"/>
        </w:rPr>
        <w:t xml:space="preserve">- оплата труда - начисления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осуществляется уполномоченной организацией </w:t>
      </w:r>
      <w:proofErr w:type="gramStart"/>
      <w:r>
        <w:rPr>
          <w:sz w:val="24"/>
          <w:szCs w:val="24"/>
        </w:rPr>
        <w:t>ГКУ</w:t>
      </w:r>
      <w:proofErr w:type="gramEnd"/>
      <w:r>
        <w:rPr>
          <w:sz w:val="24"/>
          <w:szCs w:val="24"/>
        </w:rPr>
        <w:t xml:space="preserve"> НО «ЦОПБС» на используемом для этих целей программном обеспечении.</w:t>
      </w:r>
    </w:p>
    <w:p w:rsidR="002A44C8" w:rsidRDefault="00AE6F6D" w:rsidP="005257D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бухгалтерия (блок составления сводных регистров бюджетного учета, баланса учреждения и бюджетной отчетности) - «1С: Предприятие 8.3 «Бухгалтерия государственного учреждения».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(Основание</w:t>
      </w:r>
      <w:r w:rsidRPr="005D4042">
        <w:rPr>
          <w:i/>
          <w:iCs/>
          <w:sz w:val="24"/>
          <w:szCs w:val="24"/>
        </w:rPr>
        <w:t xml:space="preserve">: </w:t>
      </w:r>
      <w:r w:rsidR="005D4042" w:rsidRPr="005D4042">
        <w:rPr>
          <w:i/>
        </w:rPr>
        <w:t>п.</w:t>
      </w:r>
      <w:hyperlink r:id="rId11" w:history="1">
        <w:r>
          <w:rPr>
            <w:i/>
            <w:iCs/>
            <w:sz w:val="24"/>
            <w:szCs w:val="24"/>
          </w:rPr>
          <w:t>19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порядок ведения регистров бюджетного учета, используемые при формировании бюджетного учета, а также мероприятия по обеспечению сохранности бухгалтерских документов, перечень первичных документов установлены в </w:t>
      </w:r>
      <w:r>
        <w:rPr>
          <w:b/>
          <w:sz w:val="24"/>
          <w:szCs w:val="24"/>
        </w:rPr>
        <w:t>Приложении №2</w:t>
      </w:r>
      <w:r>
        <w:rPr>
          <w:sz w:val="24"/>
          <w:szCs w:val="24"/>
        </w:rPr>
        <w:t>"О формах и порядке формирования регистров бюджетного учета, первичных документов и порядка их архивации".</w:t>
      </w:r>
    </w:p>
    <w:p w:rsidR="002A44C8" w:rsidRDefault="002A44C8" w:rsidP="005257D2">
      <w:pPr>
        <w:ind w:firstLine="567"/>
        <w:jc w:val="both"/>
      </w:pPr>
    </w:p>
    <w:p w:rsidR="002A44C8" w:rsidRDefault="00AE6F6D" w:rsidP="005257D2">
      <w:pPr>
        <w:pStyle w:val="1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 Документальное оформление хозяйственных операций</w:t>
      </w:r>
      <w:bookmarkEnd w:id="0"/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Хозяйственные операции, производимые </w:t>
      </w:r>
      <w:r w:rsidR="000B4484">
        <w:rPr>
          <w:rFonts w:ascii="Times New Roman" w:hAnsi="Times New Roman"/>
          <w:sz w:val="24"/>
          <w:szCs w:val="24"/>
        </w:rPr>
        <w:t>Министерством,</w:t>
      </w:r>
      <w:r>
        <w:rPr>
          <w:rFonts w:ascii="Times New Roman" w:hAnsi="Times New Roman"/>
          <w:sz w:val="24"/>
          <w:szCs w:val="24"/>
        </w:rPr>
        <w:t xml:space="preserve"> отражаются в бюджетном учете на основании оправдательных документов (первичных учетных документов).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на которые возложено ведение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(п.3 ст.9 Закона №402-ФЗ). 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внутренний контроль совершения фактов хозяйственной жизни является ответственный исполнитель, который ставит свои подписи на первичных документах в качестве подтверждения свершившихся действий.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Проверенные и принятые к учету первичные учетные документы систематизируются по датам совершения операций (в хронологическом порядке) и отражаются накопительным способом в регистрах бюджетного учета - журналах операций.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первичных документов, а также применяемые правила заполнения учетных документов, объем и сроки их предоставления ответственными лицами в отдел организации бюджетного учета и отчетности по факту совершения хозяйственных операций, устанавливаются начальником отдела путем принятия внутренних распорядительных документов согласно положения "О формах и порядке формирования регистров бюджетного учета, первичных документов и порядка их архивации" (</w:t>
      </w:r>
      <w:r>
        <w:rPr>
          <w:b/>
          <w:sz w:val="24"/>
          <w:szCs w:val="24"/>
        </w:rPr>
        <w:t>Приложение №2</w:t>
      </w:r>
      <w:r>
        <w:rPr>
          <w:sz w:val="24"/>
          <w:szCs w:val="24"/>
        </w:rPr>
        <w:t>).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начальника отдела по документальному оформлению хозяйственных операций и представлению в отдел бюджетного учета и отчетности необходимых документов и сведений, обязательны для всех сотрудников Министерства.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выдачи наличных денежных средств и денежных документов под отчет и оформления отчетов по их использованию осуществляется на основании </w:t>
      </w:r>
      <w:r>
        <w:rPr>
          <w:b/>
          <w:sz w:val="24"/>
          <w:szCs w:val="24"/>
        </w:rPr>
        <w:t>Приложения №3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которыми оформляются хозяйственные операции с денежными средствами (по лицевым счетам, открытым в органах, осуществляющих кассовое исполнение бюджетов и по кассе), а также документы по договорам (сделкам), устанавливающие и (или) изменяющие финансовые обязательства Министерства подписываются руководителем и начальником отдела или уполномоченными на то лицами, в качестве которых выступают лица, на которых оформлены, в соответствии с действующим законодательством документы, устанавливающие их право на подписание подобных документов от имени Министерства.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бюджетного учета формируются раздельно по каждому источнику бюджетного финансирования.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Учетные документы представляются в отдел бюджетного учета и отчетности Министерства согласно Порядку взаимодействия между структурными подразделениями документооборота, приведенного в </w:t>
      </w:r>
      <w:r>
        <w:rPr>
          <w:rFonts w:ascii="Times New Roman" w:hAnsi="Times New Roman"/>
          <w:b/>
          <w:sz w:val="24"/>
          <w:szCs w:val="24"/>
        </w:rPr>
        <w:t>Приложении №4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а также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начальника отдела, оформленного внутренним распорядительным документом или в порядке, вытекающим из обычая делопроизводства. 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Учетные документы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передаются в министерство уполномоченной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ГКУ</w:t>
      </w:r>
      <w:proofErr w:type="gramEnd"/>
      <w:r>
        <w:rPr>
          <w:rFonts w:ascii="Times New Roman" w:hAnsi="Times New Roman"/>
          <w:sz w:val="24"/>
          <w:szCs w:val="24"/>
        </w:rPr>
        <w:t xml:space="preserve"> НО «ЦОПБС» согласно графику документооборота, являющемуся приложением к соглашению №9 ЗП от 29.05.2020г.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Регистры бухгалтерского учета (копии электронных регистров) хранятся на бумажных носителях.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12" w:history="1">
        <w:r>
          <w:rPr>
            <w:i/>
            <w:iCs/>
            <w:sz w:val="24"/>
            <w:szCs w:val="24"/>
          </w:rPr>
          <w:t>п.</w:t>
        </w:r>
      </w:hyperlink>
      <w:r>
        <w:rPr>
          <w:i/>
          <w:iCs/>
          <w:sz w:val="24"/>
          <w:szCs w:val="24"/>
        </w:rPr>
        <w:t xml:space="preserve"> </w:t>
      </w:r>
      <w:hyperlink r:id="rId13" w:history="1">
        <w:r>
          <w:rPr>
            <w:i/>
            <w:iCs/>
            <w:sz w:val="24"/>
            <w:szCs w:val="24"/>
          </w:rPr>
          <w:t>19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Регистры бухгалтерского учета распечатываются на бумажных носителях с периодичностью, приведенной в </w:t>
      </w:r>
      <w:hyperlink r:id="rId14" w:history="1">
        <w:r>
          <w:rPr>
            <w:b/>
            <w:sz w:val="24"/>
            <w:szCs w:val="24"/>
          </w:rPr>
          <w:t xml:space="preserve">Приложении N </w:t>
        </w:r>
      </w:hyperlink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к настоящей Учетной политике.</w:t>
      </w:r>
    </w:p>
    <w:p w:rsidR="002A44C8" w:rsidRDefault="00AE6F6D" w:rsidP="005257D2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15" w:history="1">
        <w:r>
          <w:rPr>
            <w:i/>
            <w:iCs/>
            <w:sz w:val="24"/>
            <w:szCs w:val="24"/>
          </w:rPr>
          <w:t>п. 19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2A44C8" w:rsidP="005257D2">
      <w:pPr>
        <w:ind w:firstLine="540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Рабочий план счетов</w:t>
      </w:r>
    </w:p>
    <w:p w:rsidR="002A44C8" w:rsidRDefault="00AE6F6D" w:rsidP="005257D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отражении операций на счетах бюджетного учета применяется корреспонденция счетов:</w:t>
      </w:r>
    </w:p>
    <w:p w:rsidR="002A44C8" w:rsidRDefault="00AE6F6D" w:rsidP="005257D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предусмотренная Приказом №157н, </w:t>
      </w:r>
      <w:hyperlink r:id="rId16" w:history="1">
        <w:r>
          <w:rPr>
            <w:b/>
            <w:color w:val="000000"/>
            <w:sz w:val="24"/>
            <w:szCs w:val="24"/>
          </w:rPr>
          <w:t>Приложением №1</w:t>
        </w:r>
      </w:hyperlink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"План счетов бухгалтерского  учета" к Приказу №157н и п. 19 Стандарта «Концептуальные основы бухучета и отчетности».</w:t>
      </w:r>
    </w:p>
    <w:p w:rsidR="002A44C8" w:rsidRDefault="00AE6F6D" w:rsidP="005257D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определенная Министерством самостоятельно (при отсутствии ее Приказе №157н и </w:t>
      </w:r>
      <w:hyperlink r:id="rId17" w:history="1">
        <w:r>
          <w:rPr>
            <w:color w:val="000000"/>
            <w:sz w:val="24"/>
            <w:szCs w:val="24"/>
          </w:rPr>
          <w:t>Приложении №1</w:t>
        </w:r>
      </w:hyperlink>
      <w:r>
        <w:rPr>
          <w:color w:val="000000"/>
          <w:sz w:val="24"/>
          <w:szCs w:val="24"/>
        </w:rPr>
        <w:t xml:space="preserve"> " План счетов бухгалтерского  учета " к Приказу №157н).</w:t>
      </w:r>
    </w:p>
    <w:p w:rsidR="002A44C8" w:rsidRDefault="002A44C8" w:rsidP="005257D2">
      <w:pPr>
        <w:pStyle w:val="1"/>
        <w:ind w:firstLine="567"/>
        <w:jc w:val="both"/>
        <w:rPr>
          <w:color w:val="000000"/>
          <w:sz w:val="24"/>
          <w:szCs w:val="24"/>
        </w:rPr>
      </w:pPr>
      <w:bookmarkStart w:id="1" w:name="sub_1013"/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Формы первичных документов</w:t>
      </w:r>
    </w:p>
    <w:bookmarkEnd w:id="1"/>
    <w:p w:rsidR="002A44C8" w:rsidRDefault="00AE6F6D" w:rsidP="005257D2">
      <w:pPr>
        <w:ind w:firstLine="567"/>
        <w:jc w:val="both"/>
        <w:rPr>
          <w:sz w:val="24"/>
        </w:rPr>
      </w:pPr>
      <w:r>
        <w:rPr>
          <w:sz w:val="24"/>
        </w:rPr>
        <w:t>Для ведения бюджетного учета применяются:</w:t>
      </w:r>
    </w:p>
    <w:p w:rsidR="002A44C8" w:rsidRDefault="00AE6F6D" w:rsidP="005257D2">
      <w:pPr>
        <w:ind w:firstLine="567"/>
        <w:jc w:val="both"/>
        <w:rPr>
          <w:sz w:val="24"/>
        </w:rPr>
      </w:pPr>
      <w:r>
        <w:rPr>
          <w:sz w:val="24"/>
        </w:rPr>
        <w:t xml:space="preserve">- унифицированные </w:t>
      </w:r>
      <w:hyperlink r:id="rId18" w:history="1">
        <w:r>
          <w:rPr>
            <w:sz w:val="24"/>
          </w:rPr>
          <w:t>формы</w:t>
        </w:r>
      </w:hyperlink>
      <w:r>
        <w:rPr>
          <w:sz w:val="24"/>
        </w:rPr>
        <w:t xml:space="preserve"> первичных документов, утвержденные Приказом №52н;</w:t>
      </w:r>
    </w:p>
    <w:p w:rsidR="002A44C8" w:rsidRDefault="00AE6F6D" w:rsidP="005257D2">
      <w:pPr>
        <w:ind w:firstLine="567"/>
        <w:jc w:val="both"/>
        <w:rPr>
          <w:sz w:val="24"/>
        </w:rPr>
      </w:pPr>
      <w:r>
        <w:rPr>
          <w:sz w:val="24"/>
        </w:rPr>
        <w:t xml:space="preserve">- другие унифицированные формы первичных документов (в случае их отсутствия в </w:t>
      </w:r>
      <w:hyperlink r:id="rId19" w:history="1">
        <w:r>
          <w:rPr>
            <w:sz w:val="24"/>
          </w:rPr>
          <w:t>Приказе</w:t>
        </w:r>
      </w:hyperlink>
      <w:r>
        <w:rPr>
          <w:sz w:val="24"/>
        </w:rPr>
        <w:t xml:space="preserve"> №52н);</w:t>
      </w:r>
    </w:p>
    <w:p w:rsidR="002A44C8" w:rsidRDefault="00AE6F6D" w:rsidP="005257D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самостоятельно разработанные Министерством формы документов, содержащие обязательные реквизиты, указанные в </w:t>
      </w:r>
      <w:hyperlink r:id="rId20" w:history="1">
        <w:r>
          <w:rPr>
            <w:rFonts w:ascii="Times New Roman" w:hAnsi="Times New Roman"/>
            <w:sz w:val="24"/>
          </w:rPr>
          <w:t>ч. 2 ст. 9</w:t>
        </w:r>
      </w:hyperlink>
      <w:r>
        <w:rPr>
          <w:rFonts w:ascii="Times New Roman" w:hAnsi="Times New Roman"/>
          <w:sz w:val="24"/>
        </w:rPr>
        <w:t xml:space="preserve"> Закона №402-ФЗ, которые утверждаются приказами по Министерству.</w:t>
      </w:r>
    </w:p>
    <w:p w:rsidR="002A44C8" w:rsidRDefault="00AE6F6D" w:rsidP="005257D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должностей, имеющих право подписи (утверждения) первичных учетных документов, </w:t>
      </w:r>
      <w:r w:rsidR="005257D2">
        <w:rPr>
          <w:rFonts w:ascii="Times New Roman" w:hAnsi="Times New Roman"/>
          <w:sz w:val="24"/>
        </w:rPr>
        <w:t>приведен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Приложении №5</w:t>
      </w:r>
      <w:r>
        <w:rPr>
          <w:rFonts w:ascii="Times New Roman" w:hAnsi="Times New Roman"/>
          <w:sz w:val="24"/>
        </w:rPr>
        <w:t xml:space="preserve"> к настоящему Положению об учетной политике.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Первичные учетные документы принимаются к учету,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типовых форм с указанием основных и дополнительных реквизитов, используемых в Министерстве, устанавливается </w:t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Приложением №2</w:t>
      </w:r>
      <w:r>
        <w:rPr>
          <w:rFonts w:ascii="Times New Roman" w:hAnsi="Times New Roman"/>
          <w:color w:val="000000"/>
          <w:sz w:val="24"/>
          <w:szCs w:val="24"/>
        </w:rPr>
        <w:t xml:space="preserve"> «О формах и порядке формирования регистров бюджетного учета, первичных документов и порядка их архивации».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 дополнительных форм входят:</w:t>
      </w:r>
    </w:p>
    <w:p w:rsidR="002A44C8" w:rsidRDefault="00AE6F6D" w:rsidP="005257D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57D2">
        <w:rPr>
          <w:rFonts w:ascii="Times New Roman" w:hAnsi="Times New Roman"/>
          <w:sz w:val="24"/>
          <w:szCs w:val="24"/>
        </w:rPr>
        <w:t>все формы первичных учетных документов,</w:t>
      </w:r>
      <w:r>
        <w:rPr>
          <w:rFonts w:ascii="Times New Roman" w:hAnsi="Times New Roman"/>
          <w:sz w:val="24"/>
          <w:szCs w:val="24"/>
        </w:rPr>
        <w:t xml:space="preserve"> разработанные и внедренные программой «1С: Предприятие 8.3 «Бухгалтерия государственного учреждения» и программным обеспечением уполномоченной организации </w:t>
      </w:r>
      <w:proofErr w:type="gramStart"/>
      <w:r>
        <w:rPr>
          <w:rFonts w:ascii="Times New Roman" w:hAnsi="Times New Roman"/>
          <w:sz w:val="24"/>
          <w:szCs w:val="24"/>
        </w:rPr>
        <w:t>ГКУ</w:t>
      </w:r>
      <w:proofErr w:type="gramEnd"/>
      <w:r>
        <w:rPr>
          <w:rFonts w:ascii="Times New Roman" w:hAnsi="Times New Roman"/>
          <w:sz w:val="24"/>
          <w:szCs w:val="24"/>
        </w:rPr>
        <w:t xml:space="preserve"> НО «ЦОПБС».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поименованные в настоящей Учетной политике, которые не являются первичными учетными документами или регистрами бухгалтерского учета, если иное не установлено настоящей Учетной политикой, составляются в соответствии с обычаями (при их отсутствии - в свободной форме) и прилагаются к соответствующему первичному учетному документу (при его отсутствии - к Бухгалтерской справке </w:t>
      </w:r>
      <w:hyperlink r:id="rId21" w:history="1">
        <w:r>
          <w:rPr>
            <w:sz w:val="24"/>
            <w:szCs w:val="24"/>
          </w:rPr>
          <w:t>(ф. 0504833)</w:t>
        </w:r>
      </w:hyperlink>
      <w:r>
        <w:rPr>
          <w:sz w:val="24"/>
          <w:szCs w:val="24"/>
        </w:rPr>
        <w:t>, которая служит основанием для отражения операции в бухгалтерском учете).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Первичные учетные документы составляются на бумажных носителях</w:t>
      </w:r>
      <w:r w:rsidR="000B448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0B4484" w:rsidRPr="000B4484">
        <w:rPr>
          <w:sz w:val="24"/>
          <w:szCs w:val="24"/>
        </w:rPr>
        <w:t>и (или) в виде электронного документа, подписанного электронной подписью</w:t>
      </w:r>
      <w:r w:rsidR="000B4484">
        <w:rPr>
          <w:sz w:val="24"/>
          <w:szCs w:val="24"/>
        </w:rPr>
        <w:t>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22" w:history="1">
        <w:r>
          <w:rPr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 Минфина России от 30.03.2015 N 52н, а также в регистрах, разработанных Министерством самостоятельно. 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23" w:history="1">
        <w:r>
          <w:rPr>
            <w:i/>
            <w:iCs/>
            <w:sz w:val="24"/>
            <w:szCs w:val="24"/>
          </w:rPr>
          <w:t>ч. 5 ст. 10</w:t>
        </w:r>
      </w:hyperlink>
      <w:r>
        <w:rPr>
          <w:i/>
          <w:iCs/>
          <w:sz w:val="24"/>
          <w:szCs w:val="24"/>
        </w:rPr>
        <w:t xml:space="preserve"> Закона N 402-ФЗ, </w:t>
      </w:r>
      <w:hyperlink r:id="rId24" w:history="1">
        <w:r>
          <w:rPr>
            <w:i/>
            <w:iCs/>
            <w:sz w:val="24"/>
            <w:szCs w:val="24"/>
          </w:rPr>
          <w:t>п. 11</w:t>
        </w:r>
      </w:hyperlink>
      <w:r>
        <w:rPr>
          <w:i/>
          <w:iCs/>
          <w:sz w:val="24"/>
          <w:szCs w:val="24"/>
        </w:rPr>
        <w:t xml:space="preserve"> Приказа N 157н)</w:t>
      </w:r>
    </w:p>
    <w:p w:rsidR="002A44C8" w:rsidRDefault="002A44C8" w:rsidP="005257D2">
      <w:pPr>
        <w:ind w:firstLine="567"/>
        <w:jc w:val="both"/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Учет нефинансовых активов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нефинансовых активов в Министерстве осуществляется на основании </w:t>
      </w:r>
      <w:r>
        <w:rPr>
          <w:b/>
          <w:sz w:val="24"/>
          <w:szCs w:val="24"/>
        </w:rPr>
        <w:t>Приложения №7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7. Обесценение активов.   </w:t>
      </w:r>
    </w:p>
    <w:p w:rsidR="002A44C8" w:rsidRDefault="00AE6F6D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виду активов, к которым относится обесценение, оно классифицируется как:</w:t>
      </w:r>
    </w:p>
    <w:p w:rsidR="002A44C8" w:rsidRDefault="00AE6F6D" w:rsidP="005257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обесценение основных средств и незавершенного строительства;</w:t>
      </w:r>
    </w:p>
    <w:p w:rsidR="002A44C8" w:rsidRDefault="00AE6F6D" w:rsidP="005257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обесценение нематериальных активов;</w:t>
      </w:r>
    </w:p>
    <w:p w:rsidR="002A44C8" w:rsidRDefault="00AE6F6D" w:rsidP="005257D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обесценение прочих долгосрочных активов.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данных активов министерство проводит тест на обесценение активов в конце каждого отчетного периода. Тест проводит комиссия министерства, назначенная приказом о проведении инвентаризации в рамках годовой инвентаризации имущества, проводимой перед составлением годовой отчетности. Комиссия проверяет внешние и внутренние признаки обесценения активов, перечисленных в п.7-9 стандарта «Обесценение активов».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признаков обесценения необходим расчет справедливой стоимости, которая определяется методом рыночных цен.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 результатам выявленных признаков обесценения актива принимается решение об учете актива на забалансовом счете, в дальнейшем проведение теста на обесценение такого актива не осуществляется.</w:t>
      </w:r>
    </w:p>
    <w:p w:rsidR="002A44C8" w:rsidRDefault="00AE6F6D" w:rsidP="005257D2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теста на обесценение отражаются в инвентаризационной описи.</w:t>
      </w:r>
    </w:p>
    <w:p w:rsidR="002A44C8" w:rsidRDefault="00AE6F6D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Учет финансовых активов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финансовых активов в Министерстве осуществляется на основании </w:t>
      </w:r>
      <w:r>
        <w:rPr>
          <w:b/>
          <w:sz w:val="24"/>
          <w:szCs w:val="24"/>
        </w:rPr>
        <w:t>Приложения №12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Порядок ведения бюджетного учета администратора поступлений</w:t>
      </w:r>
    </w:p>
    <w:p w:rsidR="002A44C8" w:rsidRDefault="00AE6F6D" w:rsidP="005257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бюджеты бюджетной системы РФ</w:t>
      </w:r>
    </w:p>
    <w:p w:rsidR="00040387" w:rsidRDefault="00040387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160.1. Бюджетного кодекса РФ</w:t>
      </w:r>
      <w:r w:rsidR="008C4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 является главным администратором доходов областного бюджета. 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Бюджетный учет администрируемых доходов в Министерстве регулируется </w:t>
      </w:r>
      <w:r>
        <w:rPr>
          <w:b/>
          <w:sz w:val="24"/>
          <w:szCs w:val="24"/>
        </w:rPr>
        <w:t>Инструкцией по ведению оперативного и бюджетного учета доходов</w:t>
      </w:r>
      <w:r>
        <w:rPr>
          <w:sz w:val="24"/>
          <w:szCs w:val="24"/>
        </w:rPr>
        <w:t>, утвержденной отдельным приказом.</w:t>
      </w:r>
    </w:p>
    <w:p w:rsidR="00040387" w:rsidRDefault="00040387" w:rsidP="005257D2">
      <w:pPr>
        <w:ind w:firstLine="567"/>
        <w:jc w:val="both"/>
        <w:rPr>
          <w:sz w:val="24"/>
          <w:szCs w:val="24"/>
        </w:rPr>
      </w:pP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Учет расчетов</w:t>
      </w:r>
    </w:p>
    <w:p w:rsidR="002A44C8" w:rsidRDefault="002A44C8" w:rsidP="005257D2">
      <w:pPr>
        <w:pStyle w:val="ConsPlusNonformat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расчетов с персоналом, поставщиками и подрядчиками, покупателями и заказчиками, а также с подотчетными лицами в Министерстве осуществляется на основании </w:t>
      </w:r>
      <w:r>
        <w:rPr>
          <w:b/>
          <w:sz w:val="24"/>
          <w:szCs w:val="24"/>
        </w:rPr>
        <w:t>Приложения №13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2A44C8" w:rsidP="005257D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Учет санкционирования расходов</w:t>
      </w:r>
    </w:p>
    <w:p w:rsidR="002A44C8" w:rsidRPr="00040387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учета операций с бюджетными ассигнованиями, лимитами бюджетных обязательств, принятием Министерством обязательств осуществляется на основании </w:t>
      </w:r>
      <w:r>
        <w:rPr>
          <w:b/>
          <w:sz w:val="24"/>
          <w:szCs w:val="24"/>
        </w:rPr>
        <w:t>Приложения №10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2A44C8" w:rsidP="005257D2">
      <w:pPr>
        <w:ind w:firstLine="567"/>
        <w:jc w:val="both"/>
        <w:rPr>
          <w:iCs/>
          <w:sz w:val="24"/>
          <w:szCs w:val="24"/>
        </w:rPr>
      </w:pPr>
    </w:p>
    <w:p w:rsidR="002A44C8" w:rsidRDefault="00AE6F6D" w:rsidP="005257D2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12. Учет резервов предстоящих расходов Министерства и их расходование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Порядок учета резервов предстоящих расходов Министерства и их расходование </w:t>
      </w:r>
      <w:r>
        <w:rPr>
          <w:sz w:val="24"/>
          <w:szCs w:val="24"/>
        </w:rPr>
        <w:t xml:space="preserve">осуществляется на основании </w:t>
      </w:r>
      <w:r>
        <w:rPr>
          <w:b/>
          <w:sz w:val="24"/>
          <w:szCs w:val="24"/>
        </w:rPr>
        <w:t>Приложения №14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2A44C8" w:rsidP="005257D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A44C8" w:rsidRDefault="00AE6F6D" w:rsidP="005257D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Исчисление налогов и взносов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Исчисление налогов и взносов в Министерстве осуществляется уполномоченной организацией </w:t>
      </w:r>
      <w:proofErr w:type="gramStart"/>
      <w:r>
        <w:rPr>
          <w:rFonts w:ascii="Times New Roman" w:hAnsi="Times New Roman"/>
          <w:sz w:val="24"/>
          <w:szCs w:val="24"/>
        </w:rPr>
        <w:t>ГКУ</w:t>
      </w:r>
      <w:proofErr w:type="gramEnd"/>
      <w:r>
        <w:rPr>
          <w:rFonts w:ascii="Times New Roman" w:hAnsi="Times New Roman"/>
          <w:sz w:val="24"/>
          <w:szCs w:val="24"/>
        </w:rPr>
        <w:t xml:space="preserve"> НО «ЦОПБС» в соответствии с Налоговым кодексом Российской Федерации, Федеральным законом от 24.07.2009 №212-ФЗ «О страховых взносах в Пенсионный фонд РФ, Фонд социального страхования РФ, Федеральный фонд обязательного медицинского страхования» и иными нормативными актами законодательства о налогах и взносах </w:t>
      </w:r>
      <w:r>
        <w:rPr>
          <w:rFonts w:ascii="Times New Roman" w:hAnsi="Times New Roman"/>
          <w:b/>
          <w:sz w:val="24"/>
          <w:szCs w:val="24"/>
        </w:rPr>
        <w:t>(Приложение №6).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Учет на забалансовых счетах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Порядок учета на забалансовых счетах Министерства </w:t>
      </w:r>
      <w:r>
        <w:rPr>
          <w:sz w:val="24"/>
          <w:szCs w:val="24"/>
        </w:rPr>
        <w:t xml:space="preserve">осуществляется на основании </w:t>
      </w:r>
      <w:r>
        <w:rPr>
          <w:b/>
          <w:sz w:val="24"/>
          <w:szCs w:val="24"/>
        </w:rPr>
        <w:t>Приложения №15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tabs>
          <w:tab w:val="center" w:pos="5031"/>
          <w:tab w:val="left" w:pos="6528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15. Инвентаризация</w:t>
      </w:r>
      <w:r>
        <w:rPr>
          <w:color w:val="000000"/>
          <w:sz w:val="24"/>
          <w:szCs w:val="24"/>
        </w:rPr>
        <w:tab/>
      </w:r>
    </w:p>
    <w:p w:rsidR="002A44C8" w:rsidRDefault="00AE6F6D" w:rsidP="005257D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Инвентаризация имущества и финансовых обязательств проводится в соответствии с Порядком проведения инвентаризации активов и обязательств (</w:t>
      </w:r>
      <w:r>
        <w:rPr>
          <w:rFonts w:ascii="Times New Roman" w:hAnsi="Times New Roman"/>
          <w:b/>
          <w:sz w:val="24"/>
          <w:szCs w:val="24"/>
        </w:rPr>
        <w:t>Приложение №9</w:t>
      </w:r>
      <w:r>
        <w:rPr>
          <w:rFonts w:ascii="Times New Roman" w:hAnsi="Times New Roman"/>
          <w:sz w:val="24"/>
          <w:szCs w:val="24"/>
        </w:rPr>
        <w:t>) к настоящей Учетной политике.</w:t>
      </w:r>
      <w:bookmarkStart w:id="2" w:name="sub_1018"/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Порядок формирования и представления отчетности</w:t>
      </w:r>
    </w:p>
    <w:bookmarkEnd w:id="2"/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отчетность в объеме,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представляется в министерство финансов Нижегородской области в сроки, установленные министерством финансов Нижегородской области.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Месячная, квартальная и годовая бюджетная отчетность формируется на бумажном носителе и в электронном виде с применением программы «СКИФ-БП» </w:t>
      </w:r>
      <w:r w:rsidR="00525ED7">
        <w:rPr>
          <w:rFonts w:ascii="Times New Roman" w:hAnsi="Times New Roman"/>
          <w:sz w:val="24"/>
        </w:rPr>
        <w:t xml:space="preserve">с последующим подписанием электронной цифровой подписью </w:t>
      </w:r>
      <w:r>
        <w:rPr>
          <w:rFonts w:ascii="Times New Roman" w:hAnsi="Times New Roman"/>
          <w:sz w:val="24"/>
        </w:rPr>
        <w:t xml:space="preserve">и представляется в министерство </w:t>
      </w:r>
      <w:r w:rsidR="006525E2">
        <w:rPr>
          <w:rFonts w:ascii="Times New Roman" w:hAnsi="Times New Roman"/>
          <w:sz w:val="24"/>
        </w:rPr>
        <w:t>финансов после</w:t>
      </w:r>
      <w:r>
        <w:rPr>
          <w:rFonts w:ascii="Times New Roman" w:hAnsi="Times New Roman"/>
          <w:sz w:val="24"/>
        </w:rPr>
        <w:t xml:space="preserve"> утверждения руководителем Министерства или лицом уполномоченным н</w:t>
      </w:r>
      <w:r w:rsidR="00E53FDC">
        <w:rPr>
          <w:rFonts w:ascii="Times New Roman" w:hAnsi="Times New Roman"/>
          <w:sz w:val="24"/>
        </w:rPr>
        <w:t xml:space="preserve">а то руководителем Министерства путем подписания в программе электронной цифровой </w:t>
      </w:r>
      <w:proofErr w:type="spellStart"/>
      <w:r w:rsidR="00E53FDC">
        <w:rPr>
          <w:rFonts w:ascii="Times New Roman" w:hAnsi="Times New Roman"/>
          <w:sz w:val="24"/>
        </w:rPr>
        <w:t>подпистью</w:t>
      </w:r>
      <w:proofErr w:type="spellEnd"/>
      <w:r w:rsidR="00E53FDC">
        <w:rPr>
          <w:rFonts w:ascii="Times New Roman" w:hAnsi="Times New Roman"/>
          <w:sz w:val="24"/>
        </w:rPr>
        <w:t>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предоставление отчетности в органы государственной статистики, ИФНС, ФСС, ПФ РФ осуществляются в соответствии с требованиями действующего законодательства.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Хранение документов бухгалтерского учета</w:t>
      </w:r>
    </w:p>
    <w:p w:rsidR="002A44C8" w:rsidRDefault="00AE6F6D" w:rsidP="005257D2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 основании Закона №402-ФЗ, обеспечить сохранность первичных учетных документов, регистров бухгалтерского учета, бухгалтерскую (финансовую) отчетность в течение сроков, утверждаемых в соответствии с правилами организации государственного архивного дела, но не менее пяти лет после окончания отчетного года.</w:t>
      </w:r>
    </w:p>
    <w:p w:rsidR="002A44C8" w:rsidRDefault="00AE6F6D" w:rsidP="005257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на основании п. 2 ст. 29 Закона №402-ФЗ 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подписи, хранить не менее пяти лет после года, в котором они использовались для составления бухгалтерской (финансовой) отчетности в последний раз.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безопасные условия хранения документов бухгалтерского учета и их защиту от изменений (п. 3 ст. 29 Закона №402 - ФЗ).</w:t>
      </w:r>
    </w:p>
    <w:p w:rsidR="002A44C8" w:rsidRDefault="002A44C8" w:rsidP="005257D2">
      <w:pPr>
        <w:ind w:firstLine="567"/>
        <w:jc w:val="both"/>
        <w:rPr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Порядок признания в бухгалтерском учете и раскрытия в бухгалтерской (финансовой) отчетности событий после отчетной даты</w:t>
      </w:r>
    </w:p>
    <w:p w:rsidR="002A44C8" w:rsidRDefault="00AE6F6D" w:rsidP="005257D2">
      <w:pPr>
        <w:ind w:firstLine="567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Порядок признания в бухгалтерском учете и раскрытия в бухгалтерской (финансовой) отчетности событий после отчетной даты в </w:t>
      </w:r>
      <w:r>
        <w:rPr>
          <w:rFonts w:eastAsia="Calibri"/>
          <w:sz w:val="24"/>
          <w:szCs w:val="24"/>
          <w:lang w:eastAsia="en-US"/>
        </w:rPr>
        <w:t xml:space="preserve">Министерстве </w:t>
      </w:r>
      <w:r>
        <w:rPr>
          <w:sz w:val="24"/>
          <w:szCs w:val="24"/>
        </w:rPr>
        <w:t xml:space="preserve">осуществляется на основании </w:t>
      </w:r>
      <w:r>
        <w:rPr>
          <w:b/>
          <w:sz w:val="24"/>
          <w:szCs w:val="24"/>
        </w:rPr>
        <w:t>Приложения №11</w:t>
      </w:r>
      <w:r>
        <w:rPr>
          <w:sz w:val="24"/>
          <w:szCs w:val="24"/>
        </w:rPr>
        <w:t xml:space="preserve"> к настоящему Положению. </w:t>
      </w:r>
    </w:p>
    <w:p w:rsidR="002A44C8" w:rsidRDefault="00AE6F6D" w:rsidP="005257D2">
      <w:pPr>
        <w:tabs>
          <w:tab w:val="left" w:pos="32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Расходы будущих периодов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составе расходов будущих периодов на счете 0 401 50 000 отражаются расходы: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-затраты, произведенные учреждением в отчетном периоде, но относящиеся к следующим отчетным периодам;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-упущенная выгода по договорам аренды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25" w:history="1">
        <w:r>
          <w:rPr>
            <w:i/>
            <w:iCs/>
            <w:sz w:val="24"/>
            <w:szCs w:val="24"/>
          </w:rPr>
          <w:t>п. 302</w:t>
        </w:r>
      </w:hyperlink>
      <w:r>
        <w:rPr>
          <w:i/>
          <w:iCs/>
          <w:sz w:val="24"/>
          <w:szCs w:val="24"/>
        </w:rPr>
        <w:t xml:space="preserve"> Инструкции N 157н)</w:t>
      </w:r>
    </w:p>
    <w:p w:rsidR="002A44C8" w:rsidRDefault="00AE6F6D" w:rsidP="00525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Расходы будущих периодов списываются на финансовый результат текущего финансового года пропорционально объему работ, услуг и т.д. в течение периода, к которому они относятся.</w:t>
      </w:r>
    </w:p>
    <w:p w:rsidR="002A44C8" w:rsidRDefault="00AE6F6D" w:rsidP="005257D2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(Основание: </w:t>
      </w:r>
      <w:hyperlink r:id="rId26" w:history="1">
        <w:r>
          <w:rPr>
            <w:i/>
            <w:iCs/>
            <w:sz w:val="24"/>
            <w:szCs w:val="24"/>
          </w:rPr>
          <w:t>п. 302</w:t>
        </w:r>
      </w:hyperlink>
      <w:r>
        <w:rPr>
          <w:i/>
          <w:iCs/>
          <w:sz w:val="24"/>
          <w:szCs w:val="24"/>
        </w:rPr>
        <w:t xml:space="preserve"> Инструкции N 157н)</w:t>
      </w:r>
    </w:p>
    <w:p w:rsidR="002A44C8" w:rsidRDefault="00AE6F6D" w:rsidP="005257D2">
      <w:pPr>
        <w:ind w:firstLine="5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</w:p>
    <w:p w:rsidR="002A44C8" w:rsidRDefault="00AE6F6D" w:rsidP="005257D2">
      <w:pPr>
        <w:ind w:firstLine="54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20. Порядок передачи документов бухгалтерского учета при смене</w:t>
      </w:r>
    </w:p>
    <w:p w:rsidR="002A44C8" w:rsidRDefault="00AE6F6D" w:rsidP="005257D2">
      <w:pPr>
        <w:ind w:firstLine="54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начальника отдела бюджетного учета и отчетности.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Порядок передачи документов бухгалтерского учета при смене начальника отдела бюджетного учета и отчетности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министерстве осуществляется на основании </w:t>
      </w:r>
      <w:r>
        <w:rPr>
          <w:b/>
          <w:sz w:val="24"/>
          <w:szCs w:val="24"/>
        </w:rPr>
        <w:t>Приложения №16</w:t>
      </w:r>
      <w:r>
        <w:rPr>
          <w:sz w:val="24"/>
          <w:szCs w:val="24"/>
        </w:rPr>
        <w:t xml:space="preserve"> к настоящему Положению.</w:t>
      </w:r>
    </w:p>
    <w:p w:rsidR="002A44C8" w:rsidRDefault="002A44C8" w:rsidP="005257D2">
      <w:pPr>
        <w:jc w:val="both"/>
        <w:rPr>
          <w:bCs/>
          <w:sz w:val="24"/>
          <w:szCs w:val="24"/>
        </w:rPr>
      </w:pPr>
    </w:p>
    <w:p w:rsidR="002A44C8" w:rsidRDefault="00AE6F6D" w:rsidP="005257D2">
      <w:pPr>
        <w:pStyle w:val="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Изменения учетной политики</w:t>
      </w:r>
    </w:p>
    <w:p w:rsidR="002A44C8" w:rsidRDefault="00AE6F6D" w:rsidP="005257D2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применяется последовательно из года в год. Изменение учетной политики производится в случаях:</w:t>
      </w:r>
    </w:p>
    <w:p w:rsidR="002A44C8" w:rsidRDefault="00AE6F6D" w:rsidP="005257D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изменения законодательства Российской Федерации о бухгалтерском учете, нормативных правовых актов, регулирующих ведение бухгалтерского учета и составление бухгалтерской (финансовой) отчетности;</w:t>
      </w:r>
    </w:p>
    <w:p w:rsidR="002A44C8" w:rsidRDefault="00AE6F6D" w:rsidP="005257D2">
      <w:pPr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формирования или утверждения новых способов ведения бухгалтерского учета, применение которых позволит представить в бухгалтерской (финансовой) отчетности релевантную и достоверную информацию;</w:t>
      </w:r>
    </w:p>
    <w:p w:rsidR="002A44C8" w:rsidRDefault="00AE6F6D" w:rsidP="005257D2">
      <w:pPr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существенного изменения условий деятельности Министерства, включая его реорганизацию, изменение возложенных на Министерство полномочий и (или) выполняемых им функций.</w:t>
      </w:r>
    </w:p>
    <w:p w:rsidR="002A44C8" w:rsidRDefault="00AE6F6D" w:rsidP="005257D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учетной политики производится с начала отчетного года, если иное не обусловливается причиной такого изменения.</w:t>
      </w:r>
    </w:p>
    <w:p w:rsidR="002A44C8" w:rsidRDefault="002A44C8" w:rsidP="005257D2">
      <w:pPr>
        <w:ind w:firstLine="539"/>
        <w:jc w:val="both"/>
        <w:rPr>
          <w:sz w:val="24"/>
          <w:szCs w:val="24"/>
        </w:rPr>
      </w:pPr>
    </w:p>
    <w:sectPr w:rsidR="002A44C8" w:rsidSect="00040387">
      <w:footerReference w:type="default" r:id="rId27"/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80" w:rsidRDefault="00400080">
      <w:r>
        <w:separator/>
      </w:r>
    </w:p>
  </w:endnote>
  <w:endnote w:type="continuationSeparator" w:id="0">
    <w:p w:rsidR="00400080" w:rsidRDefault="004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A6" w:rsidRDefault="00DB1DA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21AFD">
      <w:rPr>
        <w:noProof/>
      </w:rPr>
      <w:t>7</w:t>
    </w:r>
    <w:r>
      <w:fldChar w:fldCharType="end"/>
    </w:r>
  </w:p>
  <w:p w:rsidR="00DB1DA6" w:rsidRDefault="00DB1D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80" w:rsidRDefault="00400080">
      <w:r>
        <w:separator/>
      </w:r>
    </w:p>
  </w:footnote>
  <w:footnote w:type="continuationSeparator" w:id="0">
    <w:p w:rsidR="00400080" w:rsidRDefault="0040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3D7"/>
    <w:multiLevelType w:val="hybridMultilevel"/>
    <w:tmpl w:val="7340C992"/>
    <w:lvl w:ilvl="0" w:tplc="7BB0A3A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BA085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DE0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F0B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941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A88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C671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624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8EC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8C66A1F"/>
    <w:multiLevelType w:val="hybridMultilevel"/>
    <w:tmpl w:val="C97413F0"/>
    <w:lvl w:ilvl="0" w:tplc="34D08F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42D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82C9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A07E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BEC0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4E48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D28A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468D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2E15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8"/>
    <w:rsid w:val="00040387"/>
    <w:rsid w:val="00091DDD"/>
    <w:rsid w:val="000B4484"/>
    <w:rsid w:val="00174EF5"/>
    <w:rsid w:val="002516DA"/>
    <w:rsid w:val="002A44C8"/>
    <w:rsid w:val="002C23D0"/>
    <w:rsid w:val="00400080"/>
    <w:rsid w:val="005257D2"/>
    <w:rsid w:val="00525ED7"/>
    <w:rsid w:val="005D4042"/>
    <w:rsid w:val="00621AFD"/>
    <w:rsid w:val="006525E2"/>
    <w:rsid w:val="00760F2F"/>
    <w:rsid w:val="007A1670"/>
    <w:rsid w:val="00854307"/>
    <w:rsid w:val="008C454E"/>
    <w:rsid w:val="009A1B53"/>
    <w:rsid w:val="00A700F0"/>
    <w:rsid w:val="00AE6F6D"/>
    <w:rsid w:val="00C821A0"/>
    <w:rsid w:val="00D43914"/>
    <w:rsid w:val="00DB1DA6"/>
    <w:rsid w:val="00E53FDC"/>
    <w:rsid w:val="00E64071"/>
    <w:rsid w:val="00EF73CC"/>
    <w:rsid w:val="00F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6E5"/>
  <w15:docId w15:val="{5503EAFC-4EC7-4D70-9FE1-E84A658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customStyle="1" w:styleId="af9">
    <w:name w:val="Основной шрифт абзаца;Знак Знак Знак Знак Знак Знак Знак Знак"/>
    <w:link w:val="afa"/>
    <w:semiHidden/>
  </w:style>
  <w:style w:type="character" w:customStyle="1" w:styleId="afb">
    <w:name w:val="Цветовое выделение"/>
    <w:rPr>
      <w:b/>
      <w:bCs/>
      <w:color w:val="000080"/>
      <w:sz w:val="20"/>
      <w:szCs w:val="20"/>
    </w:rPr>
  </w:style>
  <w:style w:type="paragraph" w:customStyle="1" w:styleId="afc">
    <w:name w:val="Таблицы (моноширинный)"/>
    <w:basedOn w:val="a"/>
    <w:next w:val="a"/>
    <w:rPr>
      <w:rFonts w:ascii="Courier New" w:hAnsi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d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e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 Знак"/>
    <w:basedOn w:val="a"/>
    <w:link w:val="a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Верхний колонтитул Знак"/>
    <w:link w:val="ab"/>
    <w:rPr>
      <w:rFonts w:ascii="Arial" w:hAnsi="Arial"/>
    </w:rPr>
  </w:style>
  <w:style w:type="character" w:customStyle="1" w:styleId="ae">
    <w:name w:val="Нижний колонтитул Знак"/>
    <w:link w:val="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B6F3B24E2CB04E46B299B97D827D976C09312EC74C5DEC3EE6749571CC79B9E06DE892A50D2DDJ6n4M" TargetMode="External"/><Relationship Id="rId13" Type="http://schemas.openxmlformats.org/officeDocument/2006/relationships/hyperlink" Target="consultantplus://offline/ref=46CC40372B5CE5CEF0A78076C824829DD98311B183DC3668C5AB92B5DB98B7070005D4768EK9gCJ" TargetMode="External"/><Relationship Id="rId18" Type="http://schemas.openxmlformats.org/officeDocument/2006/relationships/hyperlink" Target="consultantplus://offline/ref=33BB6F3B24E2CB04E46B299B97D827D976C39211E17AC5DEC3EE6749571CC79B9E06DE892A50D2DBJ6n7M" TargetMode="External"/><Relationship Id="rId26" Type="http://schemas.openxmlformats.org/officeDocument/2006/relationships/hyperlink" Target="consultantplus://offline/ref=86905CF3B6BDF568EB975DFC93A30EDA71D64C07A330478DACEAAC5F34F05B47127F98BAEFD46DD4WA4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6BA380BBE1774B92FFEE9AAFD06A733A0A7F771E875058E823FB597DrCI" TargetMode="External"/><Relationship Id="rId7" Type="http://schemas.openxmlformats.org/officeDocument/2006/relationships/hyperlink" Target="consultantplus://offline/ref=C0B06F9D5C7CF509DAD2B42819EBD84860F625864C7A4C17932340EE48105F0309C110A7CFb9I" TargetMode="External"/><Relationship Id="rId12" Type="http://schemas.openxmlformats.org/officeDocument/2006/relationships/hyperlink" Target="consultantplus://offline/ref=46CC40372B5CE5CEF0A78076C824829DD98311B183DC3668C5AB92B5DB98B7070005D4768B9ED9A1K8g7J" TargetMode="External"/><Relationship Id="rId17" Type="http://schemas.openxmlformats.org/officeDocument/2006/relationships/hyperlink" Target="consultantplus://offline/ref=33BB6F3B24E2CB04E46B299B97D827D976C7981BE57CC5DEC3EE6749571CC79B9E06DE892A53D7DFJ6n6M" TargetMode="External"/><Relationship Id="rId25" Type="http://schemas.openxmlformats.org/officeDocument/2006/relationships/hyperlink" Target="consultantplus://offline/ref=86905CF3B6BDF568EB975DFC93A30EDA71D64C07A330478DACEAAC5F34F05B47127F98BAEFD46DD4WA4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BB6F3B24E2CB04E46B299B97D827D976C7981BE57CC5DEC3EE6749571CC79B9E06DE892A53D7DFJ6n6M" TargetMode="External"/><Relationship Id="rId20" Type="http://schemas.openxmlformats.org/officeDocument/2006/relationships/hyperlink" Target="consultantplus://offline/ref=33BB6F3B24E2CB04E46B299B97D827D976C69C12E77AC5DEC3EE6749571CC79B9E06DE892A50D2D4J6n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8192D2C2B60919E402314DC5B08D910D88468F6725EEFE521EBE3F88286D9071F41575DAG3l2I" TargetMode="External"/><Relationship Id="rId24" Type="http://schemas.openxmlformats.org/officeDocument/2006/relationships/hyperlink" Target="consultantplus://offline/ref=76180D8D4C93F4E729DEB7A9E164E4A260DCD5FB35243147CDD681650B5164DEABA090C033iE1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CC40372B5CE5CEF0A78076C824829DD98311B183DC3668C5AB92B5DB98B7070005D4768EK9gFJ" TargetMode="External"/><Relationship Id="rId23" Type="http://schemas.openxmlformats.org/officeDocument/2006/relationships/hyperlink" Target="consultantplus://offline/ref=76180D8D4C93F4E729DEB7A9E164E4A260D3D0FA332F3147CDD681650B5164DEABA090C030E9591Ei61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3BB6F3B24E2CB04E46B299B97D827D976C09312EC74C5DEC3EE6749571CC79B9E06DE892A50D6D5J6n7M" TargetMode="External"/><Relationship Id="rId19" Type="http://schemas.openxmlformats.org/officeDocument/2006/relationships/hyperlink" Target="consultantplus://offline/ref=33BB6F3B24E2CB04E46B299B97D827D976C39211E17AC5DEC3EE674957J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BB6F3B24E2CB04E46B299B97D827D976C09312EC74C5DEC3EE6749571CC79B9E06DE892A50D6D5J6n1M" TargetMode="External"/><Relationship Id="rId14" Type="http://schemas.openxmlformats.org/officeDocument/2006/relationships/hyperlink" Target="consultantplus://offline/ref=46CC40372B5CE5CEF0A79C76CF24829DD08D15B382DF6B62CDF29EB7DC97E810074CD8778996D4KAg0J" TargetMode="External"/><Relationship Id="rId22" Type="http://schemas.openxmlformats.org/officeDocument/2006/relationships/hyperlink" Target="consultantplus://offline/ref=76180D8D4C93F4E729DEB7A9E164E4A260D3D7F8322A3147CDD681650Bi511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Рамзия</dc:creator>
  <cp:lastModifiedBy>Никитина Рамзия</cp:lastModifiedBy>
  <cp:revision>18</cp:revision>
  <dcterms:created xsi:type="dcterms:W3CDTF">2021-12-28T08:22:00Z</dcterms:created>
  <dcterms:modified xsi:type="dcterms:W3CDTF">2022-01-11T06:18:00Z</dcterms:modified>
</cp:coreProperties>
</file>