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4D" w:rsidRPr="00CB7068" w:rsidRDefault="0033484D" w:rsidP="00CB7068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МИНИСТЕРСТВО ЭКОНОМИЧЕСКОГО РАЗВИТИЯ РОССИЙСКОЙ ФЕДЕРАЦИИ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33484D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ПРИКАЗ</w:t>
      </w:r>
    </w:p>
    <w:p w:rsidR="00C95BA8" w:rsidRPr="00CB7068" w:rsidRDefault="00C95BA8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от 30</w:t>
      </w:r>
      <w:r w:rsidR="00C95BA8">
        <w:rPr>
          <w:rFonts w:ascii="Times New Roman" w:hAnsi="Times New Roman" w:cs="Times New Roman"/>
          <w:color w:val="0D0D0D" w:themeColor="text1" w:themeTint="F2"/>
        </w:rPr>
        <w:t>.11.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ОБ УТВЕРЖДЕНИИ МЕТОДИКИ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ОЦЕНКИ ЭФФЕКТИВНОСТИ ПРОЕКТА ГОСУДАРСТВЕННО-ЧАСТНОГО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ПАРТНЕРСТВА, ПРОЕКТА МУНИЦИПАЛЬНО-ЧАСТНОГО ПАРТНЕРСТВА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 ПРЕИМУЩЕСТВА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В соответствии с частью 7 статьи 9 и частью 2 статьи 16 Федерального закона от 13 июля 2015 г. </w:t>
      </w:r>
      <w:r w:rsid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</w:t>
      </w:r>
      <w:r w:rsid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29, ст. 4350) приказываю: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1. Утвердить прилагаемую Методику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2. Настоящий приказ вступает в силу с 1 января 2016 года.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3. Контроль за исполнением настоящего приказа возложить на заместителя Министра Воскресенского С.С.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Врио Министра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А.Е.ЛИХАЧЕВ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Утверждена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приказом 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0" w:name="Par30"/>
      <w:bookmarkEnd w:id="0"/>
      <w:r w:rsidRPr="00CB7068">
        <w:rPr>
          <w:rFonts w:ascii="Times New Roman" w:hAnsi="Times New Roman" w:cs="Times New Roman"/>
          <w:color w:val="0D0D0D" w:themeColor="text1" w:themeTint="F2"/>
        </w:rPr>
        <w:t>МЕТОДИКА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ОЦЕНКИ ЭФФЕКТИВНОСТИ ПРОЕКТА ГОСУДАРСТВЕННО-ЧАСТНОГО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ПАРТНЕРСТВА, ПРОЕКТА МУНИЦИПАЛЬНО-ЧАСТНОГО ПАРТНЕРСТВА</w:t>
      </w:r>
    </w:p>
    <w:p w:rsidR="0033484D" w:rsidRPr="00CB7068" w:rsidRDefault="0033484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 ПРЕИМУЩЕСТВА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I. Общие положения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</w:t>
      </w:r>
      <w:r w:rsid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</w:t>
      </w:r>
      <w:r w:rsid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29, ст. 4350).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законом от 13 июля 2015 г. </w:t>
      </w:r>
      <w:r w:rsid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" w:name="Par39"/>
      <w:bookmarkEnd w:id="1"/>
      <w:r w:rsidRPr="00CB7068">
        <w:rPr>
          <w:rFonts w:ascii="Times New Roman" w:hAnsi="Times New Roman" w:cs="Times New Roman"/>
          <w:color w:val="0D0D0D" w:themeColor="text1" w:themeTint="F2"/>
        </w:rP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финансовая эффективность проекта;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социально-экономический эффект от реализации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4. Определение сравнительного преимущества проводится в случае, если проект признан эффективным по каждому из критериев, указанных в пункте 3 Методики.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5. Сравнительное преимущество проекта определяется на основании соотношения следующих показателей: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--------------------------------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&lt;1&gt; Справочно: present budget value.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--------------------------------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&lt;1&gt; Справочно: present risk value.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разделе II Методики, и документов, необходимых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B7068">
        <w:rPr>
          <w:rFonts w:ascii="Times New Roman" w:hAnsi="Times New Roman" w:cs="Times New Roman"/>
          <w:color w:val="0D0D0D" w:themeColor="text1" w:themeTint="F2"/>
        </w:rPr>
        <w:t>для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B7068">
        <w:rPr>
          <w:rFonts w:ascii="Times New Roman" w:hAnsi="Times New Roman" w:cs="Times New Roman"/>
          <w:color w:val="0D0D0D" w:themeColor="text1" w:themeTint="F2"/>
        </w:rPr>
        <w:t>оценки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B7068">
        <w:rPr>
          <w:rFonts w:ascii="Times New Roman" w:hAnsi="Times New Roman" w:cs="Times New Roman"/>
          <w:color w:val="0D0D0D" w:themeColor="text1" w:themeTint="F2"/>
        </w:rPr>
        <w:t>объемов принимаемых публичным партнером обязательств в случае возникновения рисков.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пунктом 26 Методики.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bookmarkStart w:id="2" w:name="Par56"/>
      <w:bookmarkEnd w:id="2"/>
      <w:r w:rsidRPr="00CB7068">
        <w:rPr>
          <w:rFonts w:ascii="Times New Roman" w:hAnsi="Times New Roman" w:cs="Times New Roman"/>
          <w:color w:val="0D0D0D" w:themeColor="text1" w:themeTint="F2"/>
        </w:rPr>
        <w:t>II. Требования к финансовой модели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 Требования к построению и оформлению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9.1. Построение финансовой модели осуществляется публичным партнером или инициатором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9.9. Финансовая модель не должна содержать ссылок на внешние файлы.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</w:t>
      </w:r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>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9.14. На электронном носителе должны быть записаны две версии файлов финансовой модели и инструкции: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10. Инструкция к финансовой модели должна содержать: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контактные данные лиц, ответственных за предоставление разъяснений по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 Требования к содержанию книги допущений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11.1.1. Основные методологические предположения, использованные при построении финансовых прогнозов, в том числе: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шаг прогноза;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тип денежных потоков (номинальные, реальные) и валюта денежных потоков;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иные ключевые методологические предположения.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11.1.2. Макроэкономические данные (в том числе прогнозы инфляции, обменных курсов, роста реальной заработной платы).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11.1.3. Прогноз капитальных вложений.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11.1.4. Прогноз объема продаж и объема производства (иных количественных факторов, определяющих выручку).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11.1.5. Прогноз цен (тарифов) на готовую продукцию (услуги).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11.1.6. Нормы расхода ресурсов на единицу выпуска.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11.1.9. Прогноз условно постоянных затрат.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11.1.14. Данные фондового рынка для расчета ставки дисконтирования.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11.1.15. Иные исходные данные и предпосылки, важные для данной отрасли и типа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11.2. Книга допущений должна содержать источники, использованные для формирования исходных данных и допущений.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&lt;1&gt;), ставка дисконтирования, период окупаемости, DSCR &lt;2&gt; и иные финансовые коэффициенты).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>--------------------------------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 xml:space="preserve">&lt;1&gt; </w:t>
      </w:r>
      <w:r w:rsidRPr="00CB7068">
        <w:rPr>
          <w:rFonts w:ascii="Times New Roman" w:hAnsi="Times New Roman" w:cs="Times New Roman"/>
          <w:color w:val="0D0D0D" w:themeColor="text1" w:themeTint="F2"/>
        </w:rPr>
        <w:t>Справочно</w:t>
      </w: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>: net present value.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 xml:space="preserve">&lt;2&gt; </w:t>
      </w:r>
      <w:r w:rsidRPr="00CB7068">
        <w:rPr>
          <w:rFonts w:ascii="Times New Roman" w:hAnsi="Times New Roman" w:cs="Times New Roman"/>
          <w:color w:val="0D0D0D" w:themeColor="text1" w:themeTint="F2"/>
        </w:rPr>
        <w:t>Справочно</w:t>
      </w: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>: debt service coverage ratio.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 Требования к содержанию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должен содержать исходные данные и допущения, указанные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 книге допущений и используемые в финансовой модели;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не должен содержать данных, которые противоречат друг другу.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информацию о налоговых льготах и льготах при уплате страховых взносов, если таковые предполагаются.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12.5. При составлении финансовых прогнозов в финансовой модели необходимо учитывать следующие ограничения: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>--------------------------------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 xml:space="preserve">&lt;1&gt; </w:t>
      </w:r>
      <w:r w:rsidRPr="00CB7068">
        <w:rPr>
          <w:rFonts w:ascii="Times New Roman" w:hAnsi="Times New Roman" w:cs="Times New Roman"/>
          <w:color w:val="0D0D0D" w:themeColor="text1" w:themeTint="F2"/>
        </w:rPr>
        <w:t>Справочно</w:t>
      </w: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>: cash flow available for debt servicing.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12.6. В финансовой модели должна быть приведены детальные расчеты: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свободного денежного потока от проекта, поступающего в распоряжение частного партнера;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чистых дисконтированных расходов средств бюджетов бюджетной системы Российской Федерации при реализации проекта;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ставки дисконтирования для частного партнера;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ставки дисконтирования расходов и поступлений средств бюджетов бюджетной системы Российской Федерации.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12.8. На отдельном листе (листах) должны быть представлены результаты финансовой модели, содержащие: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формы прогнозной годовой финансовой отчетности (в соответствии с российскими стандартами бухгалтерского учета);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>ключевые показатели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выручка (по проекту в целом);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выручка от оказания платных услуг населению;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валовая прибыль (убыток);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субсидии федерального бюджета Российской Федерации;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субсидии бюджета субъекта Российской Федерации;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субсидии бюджета муниципального образования;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себестоимость продаж;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валовая прибыль (убыток);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EBITDA &lt;1&gt; (операционная прибыль до вычета амортизации, процентов и налогов);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>--------------------------------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 xml:space="preserve">&lt;1&gt; </w:t>
      </w:r>
      <w:r w:rsidRPr="00CB7068">
        <w:rPr>
          <w:rFonts w:ascii="Times New Roman" w:hAnsi="Times New Roman" w:cs="Times New Roman"/>
          <w:color w:val="0D0D0D" w:themeColor="text1" w:themeTint="F2"/>
        </w:rPr>
        <w:t>Справочно</w:t>
      </w:r>
      <w:r w:rsidRPr="00CB7068">
        <w:rPr>
          <w:rFonts w:ascii="Times New Roman" w:hAnsi="Times New Roman" w:cs="Times New Roman"/>
          <w:color w:val="0D0D0D" w:themeColor="text1" w:themeTint="F2"/>
          <w:lang w:val="en-US"/>
        </w:rPr>
        <w:t>: earnings before interest, taxes, depreciation and amortization.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амортизационные отчисления;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доходы от участия в других организациях;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проценты к уплате;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прочие расходы;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налоговые платежи в составе прочих расходов;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прибыль (убыток) до налогообложения;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текущий налог на прибыль;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чистая прибыль.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12.9.2.1. Денежные потоки от операционной деятельности: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поступления от продажи продукции, товаров, выполнения работ и оказания услуг;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поступления в виде арендных платежей, лицензионных платежей, роялти, комиссионных и иных аналогичных платежей;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поступления в форме субсидий бюджетов бюджетной системы Российской Федерации на эксплуатационной стадии;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поставщикам (подрядчикам) за сырье, материалы, работы, услуги;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в связи с оплатой труда работников;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процентов по долговым обязательствам;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по налогу на прибыль организаций;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по налогу на добавленную стоимость;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по налогу на имущество организаций;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по земельному налогу;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прочие платежи.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12.9.2.2. Денежные потоки от инвестиционной деятельности: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в связи с продажей внеоборотных активов.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12.9.2.3. Денежные потоки от финансовой деятельности: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поступления в форме субсидий бюджетов бюджетной системы Российской Федерации на инвестиционной стадии;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получение кредитов и займов;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денежные вклады учредителей (участников);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выпуск акций, увеличения долей участия;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выпуск облигаций, векселей и других долговых ценных бумаг;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прочие поступления;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уплата дивидендов и иных платежей по распределению прибыли в пользу учредителей (участников);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погашение (выкуп) векселей и других долговых ценных бумаг, возврат кредитов и займов.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12.9.3. Прогнозный баланс, который должен содержать следующие финансовые показатели по периодам реализации проекта: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12.9.3.1. Внеоборотные активы: основные средства.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12.9.3.2. Оборотные активы: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запасы;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дебиторская задолженность;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>денежные средства;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прочие активы.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12.9.3.3. Капитал и резервы: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уставный капитал;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нераспределенная прибыль.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12.9.3.4. Долгосрочные обязательства: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долгосрочный кредит;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прочие долгосрочные обязательства.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12.9.3.5. Краткосрочные обязательства: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кредиторская задолженность;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прочие краткосрочные обязательства.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 Финансовая модель должна рассчитывать следующие ключевые показатели: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12.10.1. Свободный денежный поток от проекта, поступающий в распоряжение частного партнера.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12.10.4. Ставка дисконтирования для частного партнера.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12.10.5. Ставка дисконтирования расходов и поступлений средств бюджетов бюджетной системы Российской Федерации.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12.10.6. Коэффициент покрытия выплат по обслуживанию долга денежным потоком (DSCR).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12.10.9. Показатели инвестиционной привлекательности для частного партнера: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простой период окупаемости;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дисконтированный период окупаемости;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внутренняя норма доходности на средства, предоставленные учредителями (участниками) частного партнера.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12.11. Коэффициент покрытия выплат по обслуживанию долга денежным потоком (DSCR) рассчитывается по формуле: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30"/>
        </w:rPr>
        <w:drawing>
          <wp:inline distT="0" distB="0" distL="0" distR="0">
            <wp:extent cx="1221740" cy="43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, где </w:t>
      </w:r>
      <w:r>
        <w:rPr>
          <w:rFonts w:ascii="Times New Roman" w:hAnsi="Times New Roman" w:cs="Times New Roman"/>
          <w:noProof/>
          <w:color w:val="0D0D0D" w:themeColor="text1" w:themeTint="F2"/>
          <w:position w:val="-12"/>
        </w:rPr>
        <w:drawing>
          <wp:inline distT="0" distB="0" distL="0" distR="0">
            <wp:extent cx="614680" cy="226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DSCR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t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коэффициент покрытия выплат долгового финансирования денежным потоком в t году;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CFADS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t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денежный поток, доступный для покрытия долга в t году;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t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+ I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t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год реализации проекта (в качестве первого года принимается год планируемого заключения соглашения);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k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общее число лет реализации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действующие нормативные правовые акты;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данные статистической информации;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данные отраслевых, маркетинговых, финансовых и иных аналитических периодических изданий.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III. Оценка финансовой эффективности проекта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3" w:name="Par239"/>
      <w:bookmarkEnd w:id="3"/>
      <w:r w:rsidRPr="00CB7068">
        <w:rPr>
          <w:rFonts w:ascii="Times New Roman" w:hAnsi="Times New Roman" w:cs="Times New Roman"/>
          <w:color w:val="0D0D0D" w:themeColor="text1" w:themeTint="F2"/>
        </w:rP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32"/>
        </w:rPr>
        <w:drawing>
          <wp:inline distT="0" distB="0" distL="0" distR="0">
            <wp:extent cx="1294765" cy="4679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NPV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чистая приведенная стоимость проекта, в рублях;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FCF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ppt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&lt;1&gt; - свободный денежный поток от проекта в году t, в рублях;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--------------------------------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&lt;1&gt; Справочно: free cash flow.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для частного партнера, в процентах;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год реализации проекта (в качестве первого года принимается год планируемого заключения соглашения);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общее число лет реализации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4" w:name="Par252"/>
      <w:bookmarkEnd w:id="4"/>
      <w:r w:rsidRPr="00CB7068">
        <w:rPr>
          <w:rFonts w:ascii="Times New Roman" w:hAnsi="Times New Roman" w:cs="Times New Roman"/>
          <w:color w:val="0D0D0D" w:themeColor="text1" w:themeTint="F2"/>
        </w:rP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IV. Оценка социально-экономического эффекта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от реализации проекта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18. Оценка социально-экономического эффекта от реализации проекта осуществляется следующим образом: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1) определяются соответствующие проекту по целям, задачам и предмету государственные (муниципальные) программы;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2"/>
        </w:rPr>
        <w:drawing>
          <wp:inline distT="0" distB="0" distL="0" distR="0">
            <wp:extent cx="1068070" cy="226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y - целевой показатель государственных (муниципальных) программ;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x - технико-экономический показатель проекта;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z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1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... z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m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V. Определение сравнительного преимущества проекта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19. Сравнительное преимущество проекта признается, если выполняется следующее условие: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52"/>
        </w:rPr>
        <w:drawing>
          <wp:inline distT="0" distB="0" distL="0" distR="0">
            <wp:extent cx="2289810" cy="731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52"/>
        </w:rPr>
        <w:lastRenderedPageBreak/>
        <w:drawing>
          <wp:inline distT="0" distB="0" distL="0" distR="0">
            <wp:extent cx="2289810" cy="731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k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vfm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PBV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PBV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cp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PRV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PRV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cp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21. При определении сравнительного преимущества не учитываются следующие критерии и показатели: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1) новизна и (или) инновационность применяемых в проекте технологических решений;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2) результативность проекта, включая сравнение показателей качества услуг населению;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3) различия в инструментах управления инвестиционным проектом;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5) сроки поставки населению необходимого объема услуг (объектов инфраструктуры);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6) расходы и риски, не связанные с расходами средств бюджетов бюджетной системы Российской Федерации.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22. Образец представления показателей, используемых для определения сравнительного преимущества проекта, приведена в приложении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1 к Методике.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30"/>
        </w:rPr>
        <w:drawing>
          <wp:inline distT="0" distB="0" distL="0" distR="0">
            <wp:extent cx="3350260" cy="461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PBV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b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год реализации проекта (в качестве первого года принимается год планируемого заключения соглашения);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общее число лет реализации проекта;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80365" cy="241300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417195" cy="241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87985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80365" cy="24130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78130" cy="24130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поступления в бюджеты бюджетной системы Российской Федерации от проекта в году t.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23.2. Статьи расходов средств бюджетов бюджетной системы Российской Федерации, учитываемых при расчете </w:t>
      </w:r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 xml:space="preserve">чистых дисконтированных расходов средств бюджетов бюджетной системы Российской Федерации при реализации проекта, указаны в приложении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2 к Методике.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приложении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3 к Методике.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5" w:name="Par315"/>
      <w:bookmarkEnd w:id="5"/>
      <w:r w:rsidRPr="00CB7068">
        <w:rPr>
          <w:rFonts w:ascii="Times New Roman" w:hAnsi="Times New Roman" w:cs="Times New Roman"/>
          <w:color w:val="0D0D0D" w:themeColor="text1" w:themeTint="F2"/>
        </w:rP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28"/>
        </w:rPr>
        <w:drawing>
          <wp:inline distT="0" distB="0" distL="0" distR="0">
            <wp:extent cx="2816225" cy="4464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PBV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cp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b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общее число лет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63525" cy="241300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14325" cy="241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78130" cy="241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63525" cy="241300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26695" cy="2413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приложении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4 к Методике.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приложении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5 к Методике.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25. Расчет ставки дисконтирования расходов средств бюджетов бюджетной системы Российской Федерации.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90"/>
        </w:rPr>
        <w:lastRenderedPageBreak/>
        <w:drawing>
          <wp:inline distT="0" distB="0" distL="0" distR="0">
            <wp:extent cx="2743200" cy="12217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fb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rb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97485" cy="2413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19710" cy="2413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средств бюджета Российской Федерации, привлекаемых для реализации проекта,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19710" cy="241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19710" cy="241300"/>
            <wp:effectExtent l="1905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82880" cy="241300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расходов средств бюджетов бюджетной системы Российской Федерации по проекту, в рублях.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54"/>
        </w:rPr>
        <w:drawing>
          <wp:inline distT="0" distB="0" distL="0" distR="0">
            <wp:extent cx="2743200" cy="7607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19710" cy="2413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поступлений в бюджет Российской Федерации в течение срока реализации проекта,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19710" cy="2413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82880" cy="241300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поступлений в бюджеты бюджетной системы Российской Федерации при реализации проекта, в рублях.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90"/>
        </w:rPr>
        <w:lastRenderedPageBreak/>
        <w:drawing>
          <wp:inline distT="0" distB="0" distL="0" distR="0">
            <wp:extent cx="2735580" cy="12217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82880" cy="24130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19710" cy="2413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26695" cy="2413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26695" cy="2413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26695" cy="241300"/>
            <wp:effectExtent l="1905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90500" cy="2413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</w:t>
      </w:r>
      <w:r w:rsidRPr="00CB7068">
        <w:rPr>
          <w:rFonts w:ascii="Times New Roman" w:hAnsi="Times New Roman" w:cs="Times New Roman"/>
          <w:color w:val="0D0D0D" w:themeColor="text1" w:themeTint="F2"/>
        </w:rPr>
        <w:t>), используемой в расчете чистой приведенной стоимости проекта в соответствии с пунктами 15 - 16 Методики.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6" w:name="Par370"/>
      <w:bookmarkEnd w:id="6"/>
      <w:r w:rsidRPr="00CB7068">
        <w:rPr>
          <w:rFonts w:ascii="Times New Roman" w:hAnsi="Times New Roman" w:cs="Times New Roman"/>
          <w:color w:val="0D0D0D" w:themeColor="text1" w:themeTint="F2"/>
        </w:rP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32"/>
        </w:rPr>
        <w:drawing>
          <wp:inline distT="0" distB="0" distL="0" distR="0">
            <wp:extent cx="3569970" cy="4679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PRV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ppp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год реализации проекта (в качестве первого года принимается год планируемого заключения соглашения);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>T - общее число лет реализации проекта;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409575" cy="2413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409575" cy="2413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446405" cy="2413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73380" cy="2413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87985" cy="2413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7" w:name="Par385"/>
      <w:bookmarkEnd w:id="7"/>
      <w:r w:rsidRPr="00CB7068">
        <w:rPr>
          <w:rFonts w:ascii="Times New Roman" w:hAnsi="Times New Roman" w:cs="Times New Roman"/>
          <w:color w:val="0D0D0D" w:themeColor="text1" w:themeTint="F2"/>
        </w:rP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1) для рисков подготовительных и проектировочных мероприятий в году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382395" cy="241300"/>
            <wp:effectExtent l="1905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D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80365" cy="241300"/>
            <wp:effectExtent l="19050" t="0" r="63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2) для рисков создания объекта в периоде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360805" cy="2413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B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73380" cy="241300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3) для рисков эксплуатации объекта в году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477645" cy="2413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M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409575" cy="2413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4) для рисков получения доходов от использования объекта в году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8"/>
        </w:rPr>
        <w:drawing>
          <wp:inline distT="0" distB="0" distL="0" distR="0">
            <wp:extent cx="1192530" cy="263525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I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поступлений в бюджеты от использования объекта;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8"/>
        </w:rPr>
        <w:drawing>
          <wp:inline distT="0" distB="0" distL="0" distR="0">
            <wp:extent cx="336550" cy="263525"/>
            <wp:effectExtent l="1905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5) для прочих рисков в периоде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lastRenderedPageBreak/>
        <w:drawing>
          <wp:inline distT="0" distB="0" distL="0" distR="0">
            <wp:extent cx="1287780" cy="241300"/>
            <wp:effectExtent l="1905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C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прочих расходов средств бюджетов бюджетной системы Российской Федерации;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73380" cy="2413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приложении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6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пунктом 26.2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пунктом 26.7 Методики, имеют равные значения.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приложении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7 к Методике.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32"/>
        </w:rPr>
        <w:drawing>
          <wp:inline distT="0" distB="0" distL="0" distR="0">
            <wp:extent cx="3269615" cy="467995"/>
            <wp:effectExtent l="0" t="0" r="698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PRV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cp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r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cp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T - общее число лет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65760" cy="2413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65760" cy="2413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87985" cy="2413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14325" cy="2413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43535" cy="2413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8" w:name="Par438"/>
      <w:bookmarkEnd w:id="8"/>
      <w:r w:rsidRPr="00CB7068">
        <w:rPr>
          <w:rFonts w:ascii="Times New Roman" w:hAnsi="Times New Roman" w:cs="Times New Roman"/>
          <w:color w:val="0D0D0D" w:themeColor="text1" w:themeTint="F2"/>
        </w:rP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1) для рисков подготовительных и проектировочных мероприятий в периоде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lastRenderedPageBreak/>
        <w:drawing>
          <wp:inline distT="0" distB="0" distL="0" distR="0">
            <wp:extent cx="1177925" cy="241300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D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78130" cy="2413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2) для рисков создания объекта в периоде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141095" cy="2413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B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63525" cy="241300"/>
            <wp:effectExtent l="1905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3) для рисков эксплуатации объекта в периоде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250950" cy="2413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M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314325" cy="2413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4) для рисков получения доходов от использования объекта в периоде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031240" cy="2413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I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поступлений в бюджеты от использования объекта;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26695" cy="2413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5) для прочих рисков в периоде t: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9456C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1155700" cy="2413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>,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где: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v</w:t>
      </w:r>
      <w:r w:rsidRPr="00CB7068">
        <w:rPr>
          <w:rFonts w:ascii="Times New Roman" w:hAnsi="Times New Roman" w:cs="Times New Roman"/>
          <w:color w:val="0D0D0D" w:themeColor="text1" w:themeTint="F2"/>
          <w:vertAlign w:val="subscript"/>
        </w:rPr>
        <w:t>C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- вероятное отклонение прочих расходов средств бюджетов бюджетной системы Российской Федерации;</w:t>
      </w:r>
    </w:p>
    <w:p w:rsidR="0033484D" w:rsidRPr="00CB7068" w:rsidRDefault="009456C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position w:val="-14"/>
        </w:rPr>
        <w:drawing>
          <wp:inline distT="0" distB="0" distL="0" distR="0">
            <wp:extent cx="263525" cy="241300"/>
            <wp:effectExtent l="1905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84D" w:rsidRPr="00CB7068">
        <w:rPr>
          <w:rFonts w:ascii="Times New Roman" w:hAnsi="Times New Roman" w:cs="Times New Roman"/>
          <w:color w:val="0D0D0D" w:themeColor="text1" w:themeTint="F2"/>
        </w:rP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1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 Методике оценки эффективности проекта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 партнерства,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проекта муниципально-частного партнерства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преимущества, утвержденной приказом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9" w:name="Par488"/>
      <w:bookmarkEnd w:id="9"/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>Образец представления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показателей, используемых для определения сравнительного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преимущества проекта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250"/>
        <w:gridCol w:w="2838"/>
        <w:gridCol w:w="3082"/>
      </w:tblGrid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CB706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3484D"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Наименование показателя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15" w:rsidRDefault="00D1421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создания объекта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проектирования и подготовительных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эксплуатации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получения доходов от использования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Прочие риски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3484D" w:rsidRPr="00CB706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 xml:space="preserve">Приложение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2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 Методике оценки эффективности проекта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 партнерства,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проекта муниципально-частного партнерства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преимущества, утвержденной приказом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0" w:name="Par569"/>
      <w:bookmarkEnd w:id="10"/>
      <w:r w:rsidRPr="00CB7068">
        <w:rPr>
          <w:rFonts w:ascii="Times New Roman" w:hAnsi="Times New Roman" w:cs="Times New Roman"/>
          <w:color w:val="0D0D0D" w:themeColor="text1" w:themeTint="F2"/>
        </w:rPr>
        <w:t>СТАТЬИ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РАСХОДОВ СРЕДСТВ БЮДЖЕТОВ БЮДЖЕТНОЙ СИСТЕМЫ РОССИЙСКОЙ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ФЕДЕРАЦИИ ПРИ РЕАЛИЗАЦИИ ПРОЕКТА, УЧИТЫВАЕМЫХ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ПРИ ОПРЕДЕЛЕНИИ СРАВНИТЕЛЬНОГО ПРЕИМУЩЕСТВА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818"/>
        <w:gridCol w:w="5269"/>
      </w:tblGrid>
      <w:tr w:rsidR="0033484D" w:rsidRPr="00CB706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CB706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3484D"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33484D" w:rsidRPr="00CB706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33484D" w:rsidRPr="00CB706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33484D" w:rsidRPr="00CB706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3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 Методике оценки эффективности проекта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 партнерства,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проекта муниципально-частного партнерства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преимущества, утвержденной приказом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1" w:name="Par601"/>
      <w:bookmarkEnd w:id="11"/>
      <w:r w:rsidRPr="00CB7068">
        <w:rPr>
          <w:rFonts w:ascii="Times New Roman" w:hAnsi="Times New Roman" w:cs="Times New Roman"/>
          <w:color w:val="0D0D0D" w:themeColor="text1" w:themeTint="F2"/>
        </w:rPr>
        <w:t>СТАТЬИ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ПОСТУПЛЕНИЙ В БЮДЖЕТЫ БЮДЖЕТНОЙ СИСТЕМЫ РОССИЙСКОЙ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ФЕДЕРАЦИИ ПРИ РЕАЛИЗАЦИИ ПРОЕКТА, УЧИТЫВАЕМЫЕ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ПРИ ОПРЕДЕЛЕНИИ СРАВНИТЕЛЬНОГО ПРЕИМУЩЕСТВА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250"/>
        <w:gridCol w:w="5819"/>
      </w:tblGrid>
      <w:tr w:rsidR="0033484D" w:rsidRPr="00CB706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CB706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3484D"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Виды поступлений в бюджеты бюджетной системы Российской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Статьи поступлений в бюджеты бюджетной системы Российской Федерации при реализации проекта, учитываемые при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определении сравнительного преимущества</w:t>
            </w:r>
          </w:p>
        </w:tc>
      </w:tr>
      <w:tr w:rsidR="0033484D" w:rsidRPr="00CB706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 на добавленную стоимость по затратам на выкуп земель и подготовку территории строительства.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 на имущество организаций от стоимости объекта соглашения по проекту.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 на прибыль по проекту.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Отчисления во внебюджетные фонды.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 на доходы физических лиц по проекту</w:t>
            </w:r>
          </w:p>
        </w:tc>
      </w:tr>
      <w:tr w:rsidR="0033484D" w:rsidRPr="00CB706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Плата частного партнера за использование объекта соглашения.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Поступления штрафов от правонарушений, взимаемых посредством объекта соглашения.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4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 Методике оценки эффективности проекта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 партнерства,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проекта муниципально-частного партнерства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преимущества, утвержденной приказом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2" w:name="Par636"/>
      <w:bookmarkEnd w:id="12"/>
      <w:r w:rsidRPr="00CB7068">
        <w:rPr>
          <w:rFonts w:ascii="Times New Roman" w:hAnsi="Times New Roman" w:cs="Times New Roman"/>
          <w:color w:val="0D0D0D" w:themeColor="text1" w:themeTint="F2"/>
        </w:rPr>
        <w:t>СТАТЬИ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РАСХОДОВ СРЕДСТВ БЮДЖЕТОВ БЮДЖЕТНОЙ СИСТЕМЫ РОССИЙСКОЙ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ФЕДЕРАЦИИ ПРИ РЕАЛИЗАЦИИ ГОСУДАРСТВЕННОГО КОНТРАКТА,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МУНИЦИПАЛЬНОГО КОНТРАКТА, УЧИТЫВАЕМЫХ ПРИ ОПРЕДЕЛЕНИИ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СРАВНИТЕЛЬНОГО ПРЕИМУЩЕСТВА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405"/>
        <w:gridCol w:w="4546"/>
        <w:gridCol w:w="2132"/>
      </w:tblGrid>
      <w:tr w:rsidR="0033484D" w:rsidRPr="00CB70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CB706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№ </w:t>
            </w:r>
            <w:r w:rsidR="0033484D" w:rsidRPr="00CB7068">
              <w:rPr>
                <w:rFonts w:ascii="Times New Roman" w:hAnsi="Times New Roman" w:cs="Times New Roman"/>
                <w:color w:val="0D0D0D" w:themeColor="text1" w:themeTint="F2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Примечание</w:t>
            </w:r>
          </w:p>
        </w:tc>
      </w:tr>
      <w:tr w:rsidR="0033484D" w:rsidRPr="00CB70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</w:tr>
      <w:tr w:rsidR="0033484D" w:rsidRPr="00CB70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Расходы средств бюджетов бюджетной системы Российской Федерации на создание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Равны расходам на строительство, реконструкцию, техническое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перевооружение объекта по проекту</w:t>
            </w:r>
          </w:p>
        </w:tc>
      </w:tr>
      <w:tr w:rsidR="0033484D" w:rsidRPr="00CB70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пунктом 24 Методики)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33484D" w:rsidRPr="00CB70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Равны соответствующим расходам по проекту</w:t>
            </w:r>
          </w:p>
        </w:tc>
      </w:tr>
    </w:tbl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5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 Методике оценки эффективности проекта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 партнерства,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проекта муниципально-частного партнерства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преимущества, утвержденной приказом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3" w:name="Par678"/>
      <w:bookmarkEnd w:id="13"/>
      <w:r w:rsidRPr="00CB7068">
        <w:rPr>
          <w:rFonts w:ascii="Times New Roman" w:hAnsi="Times New Roman" w:cs="Times New Roman"/>
          <w:color w:val="0D0D0D" w:themeColor="text1" w:themeTint="F2"/>
        </w:rPr>
        <w:t>СТАТЬИ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ПОСТУПЛЕНИЙ В БЮДЖЕТЫ БЮДЖЕТНОЙ СИСТЕМЫ РОССИЙСКОЙ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ФЕДЕРАЦИИ ПРИ РЕАЛИЗАЦИИ ГОСУДАРСТВЕННОГО КОНТРАКТА,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МУНИЦИПАЛЬНОГО КОНТРАКТА, УЧИТЫВАЕМЫХ ПРИ ОПРЕДЕЛЕНИИ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СРАВНИТЕЛЬНОГО ПРЕИМУЩЕСТВА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2"/>
        <w:gridCol w:w="5288"/>
      </w:tblGrid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CB706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3484D"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 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Типы поступлений в бюджеты бюджетной системы Российской Федерации при реализации проекта, учитываемых при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определении сравнительного преимущества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Статьи поступлений в бюджеты бюджетной системы Российской Федерации при реализации проекта, учитываемых при определении сравнительного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преимущества</w:t>
            </w:r>
          </w:p>
        </w:tc>
      </w:tr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6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 Методике оценки эффективности проекта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 партнерства,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проекта муниципально-частного партнерства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определения их сравнительного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преимущества, утвержденной приказом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4" w:name="Par709"/>
      <w:bookmarkEnd w:id="14"/>
      <w:r w:rsidRPr="00CB7068">
        <w:rPr>
          <w:rFonts w:ascii="Times New Roman" w:hAnsi="Times New Roman" w:cs="Times New Roman"/>
          <w:color w:val="0D0D0D" w:themeColor="text1" w:themeTint="F2"/>
        </w:rPr>
        <w:t>СТАТЬИ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РАСХОДОВ И ПОСТУПЛЕНИЙ, УЧИТЫВАЕМЫЕ ПРИ РАСЧЕТЕ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ОБЪЕМА ПРИНИМАЕМЫХ ПУБЛИЧНЫМ ПАРТНЕРОМ ОБЯЗАТЕЛЬСТВ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 СЛУЧАЕ ВОЗНИКНОВЕНИЯ РИСКОВ ПРИ РЕАЛИЗАЦИИ ПРОЕКТА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ГОСУДАРСТВЕННО-ЧАСТНОГО, МУНИЦИПАЛЬНО-ЧАСТНОГО ПАРТНЕРСТВА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ОБЪЕМА ПРИНИМАЕМЫХ ТАКИМ ПУБЛИЧНО-ПРАВОВЫМ ОБРАЗОВАНИЕМ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ОБЯЗАТЕЛЬСТВА ПРИ РЕАЛИЗАЦИИ ГОСУДАРСТВЕННОГО,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МУНИЦИПАЛЬНОГО КОНТРАКТА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262"/>
        <w:gridCol w:w="3684"/>
        <w:gridCol w:w="3113"/>
      </w:tblGrid>
      <w:tr w:rsidR="0033484D" w:rsidRPr="00CB70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CB706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3484D"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Виды рисков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33484D" w:rsidRPr="00CB70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</w:tr>
      <w:tr w:rsidR="0033484D" w:rsidRPr="00CB70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создания объекта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33484D" w:rsidRPr="00CB70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проектирования и подготовительных мероприятий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Расходы средств бюджетов бюджетной системы Российской Федерации на проектирование и подготовительные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Расходы средств бюджетов бюджетной системы Российской Федерации на проектирование и </w:t>
            </w: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33484D" w:rsidRPr="00CB70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эксплуатации объекта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33484D" w:rsidRPr="00CB70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получения доходов от использования объекта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33484D" w:rsidRPr="00CB70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Прочие риски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Прочие расходы средств бюджетов бюджетной системы Российской Федерации</w:t>
            </w:r>
          </w:p>
        </w:tc>
      </w:tr>
    </w:tbl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7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к Методике оценки эффективности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проекта государственно-частного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партнерства, проекта муниципально-частного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партнерства и определения их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сравнительного преимущества,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утвержденной приказом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Минэкономразвития России</w:t>
      </w:r>
    </w:p>
    <w:p w:rsidR="0033484D" w:rsidRPr="00CB7068" w:rsidRDefault="0033484D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 xml:space="preserve">от 30.11.2015 </w:t>
      </w:r>
      <w:r w:rsidR="00CB7068" w:rsidRPr="00CB7068">
        <w:rPr>
          <w:rFonts w:ascii="Times New Roman" w:hAnsi="Times New Roman" w:cs="Times New Roman"/>
          <w:color w:val="0D0D0D" w:themeColor="text1" w:themeTint="F2"/>
        </w:rPr>
        <w:t>№</w:t>
      </w:r>
      <w:r w:rsidRPr="00CB7068">
        <w:rPr>
          <w:rFonts w:ascii="Times New Roman" w:hAnsi="Times New Roman" w:cs="Times New Roman"/>
          <w:color w:val="0D0D0D" w:themeColor="text1" w:themeTint="F2"/>
        </w:rPr>
        <w:t xml:space="preserve"> 894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5" w:name="Par763"/>
      <w:bookmarkEnd w:id="15"/>
      <w:r w:rsidRPr="00CB7068">
        <w:rPr>
          <w:rFonts w:ascii="Times New Roman" w:hAnsi="Times New Roman" w:cs="Times New Roman"/>
          <w:color w:val="0D0D0D" w:themeColor="text1" w:themeTint="F2"/>
        </w:rPr>
        <w:t>ДОПУСТИМЫЕ ЗНАЧЕНИЯ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ВЕРОЯТНЫХ ОТКЛОНЕНИЙ, УЧИТЫВАЕМЫХ ПРИ РАСЧЕТЕ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ОБЪЕМА ПРИНИМАЕМЫХ ПУБЛИЧНЫМ ПАРТНЕРОМ ОБЯЗАТЕЛЬСТВ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В СЛУЧАЕ ВОЗНИКНОВЕНИЯ РИСКОВ ПРИ РЕАЛИЗАЦИИ ПРОЕКТА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ГОСУДАРСТВЕННО-ЧАСТНОГО, МУНИЦИПАЛЬНО-ЧАСТНОГО ПАРТНЕРСТВА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И ОБЪЕМА ПРИНИМАЕМЫХ ТАКИМ ПУБЛИЧНО-ПРАВОВЫМ ОБРАЗОВАНИЕМ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ОБЯЗАТЕЛЬСТВА ПРИ РЕАЛИЗАЦИИ ГОСУДАРСТВЕННОГО,</w:t>
      </w:r>
    </w:p>
    <w:p w:rsidR="0033484D" w:rsidRPr="00CB7068" w:rsidRDefault="0033484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lastRenderedPageBreak/>
        <w:t>МУНИЦИПАЛЬНОГО КОНТРАКТА &lt;1&gt;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81"/>
        <w:gridCol w:w="6091"/>
      </w:tblGrid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CB706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3484D" w:rsidRPr="00CB7068">
              <w:rPr>
                <w:rFonts w:ascii="Times New Roman" w:hAnsi="Times New Roman" w:cs="Times New Roman"/>
                <w:color w:val="0D0D0D" w:themeColor="text1" w:themeTint="F2"/>
              </w:rPr>
              <w:t xml:space="preserve">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Виды рисков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создания объекта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от 5 до 12</w:t>
            </w:r>
          </w:p>
        </w:tc>
      </w:tr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проектирования и подготовительных мероприятий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от 7 до 15</w:t>
            </w:r>
          </w:p>
        </w:tc>
      </w:tr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эксплуатации объекта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от 15 до 25</w:t>
            </w:r>
          </w:p>
        </w:tc>
      </w:tr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Риски получения доходов от использования объекта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от 20 до 40</w:t>
            </w:r>
          </w:p>
        </w:tc>
      </w:tr>
      <w:tr w:rsidR="0033484D" w:rsidRPr="00CB7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Прочие риски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CB7068" w:rsidRDefault="003348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B7068">
              <w:rPr>
                <w:rFonts w:ascii="Times New Roman" w:hAnsi="Times New Roman" w:cs="Times New Roman"/>
                <w:color w:val="0D0D0D" w:themeColor="text1" w:themeTint="F2"/>
              </w:rPr>
              <w:t>от 5 до 10</w:t>
            </w:r>
          </w:p>
        </w:tc>
      </w:tr>
    </w:tbl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CB7068">
        <w:rPr>
          <w:rFonts w:ascii="Times New Roman" w:hAnsi="Times New Roman" w:cs="Times New Roman"/>
          <w:color w:val="0D0D0D" w:themeColor="text1" w:themeTint="F2"/>
        </w:rPr>
        <w:t>--------------------------------</w:t>
      </w:r>
    </w:p>
    <w:p w:rsidR="0033484D" w:rsidRPr="00CB7068" w:rsidRDefault="003348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6" w:name="Par792"/>
      <w:bookmarkEnd w:id="16"/>
      <w:r w:rsidRPr="00CB7068">
        <w:rPr>
          <w:rFonts w:ascii="Times New Roman" w:hAnsi="Times New Roman" w:cs="Times New Roman"/>
          <w:color w:val="0D0D0D" w:themeColor="text1" w:themeTint="F2"/>
        </w:rP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3484D" w:rsidRPr="00CB7068" w:rsidRDefault="003348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D0D0D" w:themeColor="text1" w:themeTint="F2"/>
          <w:sz w:val="2"/>
          <w:szCs w:val="2"/>
        </w:rPr>
      </w:pPr>
    </w:p>
    <w:sectPr w:rsidR="0033484D" w:rsidRPr="00CB7068" w:rsidSect="00C95BA8">
      <w:footerReference w:type="default" r:id="rId73"/>
      <w:pgSz w:w="11906" w:h="16838"/>
      <w:pgMar w:top="851" w:right="566" w:bottom="1440" w:left="1133" w:header="0" w:footer="36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E9" w:rsidRDefault="00AF69E9">
      <w:pPr>
        <w:spacing w:after="0" w:line="240" w:lineRule="auto"/>
      </w:pPr>
      <w:r>
        <w:separator/>
      </w:r>
    </w:p>
  </w:endnote>
  <w:endnote w:type="continuationSeparator" w:id="0">
    <w:p w:rsidR="00AF69E9" w:rsidRDefault="00AF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4D" w:rsidRDefault="00C95BA8" w:rsidP="00C95BA8">
    <w:pPr>
      <w:pStyle w:val="a5"/>
      <w:jc w:val="right"/>
      <w:rPr>
        <w:sz w:val="2"/>
        <w:szCs w:val="2"/>
      </w:rPr>
    </w:pPr>
    <w:r w:rsidRPr="00C95BA8">
      <w:rPr>
        <w:rFonts w:ascii="Times New Roman" w:hAnsi="Times New Roman"/>
        <w:sz w:val="20"/>
        <w:szCs w:val="20"/>
      </w:rPr>
      <w:fldChar w:fldCharType="begin"/>
    </w:r>
    <w:r w:rsidRPr="00C95BA8">
      <w:rPr>
        <w:rFonts w:ascii="Times New Roman" w:hAnsi="Times New Roman"/>
        <w:sz w:val="20"/>
        <w:szCs w:val="20"/>
      </w:rPr>
      <w:instrText>PAGE   \* MERGEFORMAT</w:instrText>
    </w:r>
    <w:r w:rsidRPr="00C95BA8">
      <w:rPr>
        <w:rFonts w:ascii="Times New Roman" w:hAnsi="Times New Roman"/>
        <w:sz w:val="20"/>
        <w:szCs w:val="20"/>
      </w:rPr>
      <w:fldChar w:fldCharType="separate"/>
    </w:r>
    <w:r w:rsidR="009456CD">
      <w:rPr>
        <w:rFonts w:ascii="Times New Roman" w:hAnsi="Times New Roman"/>
        <w:noProof/>
        <w:sz w:val="20"/>
        <w:szCs w:val="20"/>
      </w:rPr>
      <w:t>21</w:t>
    </w:r>
    <w:r w:rsidRPr="00C95BA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E9" w:rsidRDefault="00AF69E9">
      <w:pPr>
        <w:spacing w:after="0" w:line="240" w:lineRule="auto"/>
      </w:pPr>
      <w:r>
        <w:separator/>
      </w:r>
    </w:p>
  </w:footnote>
  <w:footnote w:type="continuationSeparator" w:id="0">
    <w:p w:rsidR="00AF69E9" w:rsidRDefault="00AF6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12CE"/>
    <w:rsid w:val="0033484D"/>
    <w:rsid w:val="003F7BE9"/>
    <w:rsid w:val="009456CD"/>
    <w:rsid w:val="00AF61E1"/>
    <w:rsid w:val="00AF69E9"/>
    <w:rsid w:val="00B86EA5"/>
    <w:rsid w:val="00C95BA8"/>
    <w:rsid w:val="00CB7068"/>
    <w:rsid w:val="00D14215"/>
    <w:rsid w:val="00D912CE"/>
    <w:rsid w:val="00ED329B"/>
    <w:rsid w:val="00F9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7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70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B7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70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9578</Words>
  <Characters>54600</Characters>
  <Application>Microsoft Office Word</Application>
  <DocSecurity>2</DocSecurity>
  <Lines>455</Lines>
  <Paragraphs>128</Paragraphs>
  <ScaleCrop>false</ScaleCrop>
  <Company>КонсультантПлюс Версия 4015.00.09</Company>
  <LinksUpToDate>false</LinksUpToDate>
  <CharactersWithSpaces>64050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30.11.2015 N 894"Об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преимущества"(Зарегистрировано в Минюст</dc:title>
  <dc:creator>Пользователь Windows</dc:creator>
  <cp:lastModifiedBy>Пользователь Windows</cp:lastModifiedBy>
  <cp:revision>2</cp:revision>
  <dcterms:created xsi:type="dcterms:W3CDTF">2018-11-16T13:12:00Z</dcterms:created>
  <dcterms:modified xsi:type="dcterms:W3CDTF">2018-11-16T13:12:00Z</dcterms:modified>
</cp:coreProperties>
</file>